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8e777" w14:textId="b78e777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   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53. став 7. Закона о дивљачи и ловству („Службени гласник РС”, број 18/10),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пољопривреде, трговине, шумарства и водопривреде, доноси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ПРАВИЛНИК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Катастру ловишта и Централној бази података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"Службени гласник РС", број 40 од 26. априла 2012.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1. Уводна одредба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правилником ближе се прописује садржина и начин вођења Катастра ловишта (у даљем тексту: Катастар) и Централне базе података (у даљем тексту: Централна база), садржина и изглед обрасца за обраду и достављање података, као и садржина, начин израде и објављивања годишњег извештаја о стању дивљачи и ловства.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2. Садржина и начин вођења Катастра и Централне базе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Катастар и Централна база садрже: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базе података са актуелним и архивским подацима од значаја за планирање, управљање и надзор над ловним газдовањем, заштитом дивљачи и стаништима дивљачи;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просторне податке;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рачунарску и комуникацијску опрему;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корисничке апликације;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пратећу документацију и прописане поступке и процедуре за њихов континуиран и исправан рад.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Катастар и Централна база се налазе у министарству надлежном за послове ловства (у даљем тексту: Министарство).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Катастар садржи податке о ловном подручју и податке о ловишту.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Подаци о ловном подручју су: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редни број ловног подручја (римски број);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назив ловног подручја;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опис граница ловног подручја;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укупна површина ловног подручја;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начин коришћења површина у ловном подручју;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заштићена природна добра;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карта ловног подручја у дигиталном облику и геотопографска подлога у дигиталном растерском облику у размери до 1:300.000.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Подаци о ловишту су: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редни број ловишта (арапски број) и ознака ловишта (Л – ловиште, ЛПН – ловиште посебне намене, ЛРР – ловиште на површини регистрованог рибњака, ЛВЗ – ловиште у коме је корисник власник земљишта);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назив ловишта;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редни број (римски број) и назив ловног подручја у коме се ловиште налази;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врста и тип ловишта;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опис граница ловишта;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укупна површина ловишта;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ловна и неловна површина ловишта;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начин коришћења површина у ловишту;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ловно-технички објекти у ловишту;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карта ловишта у дигиталном облику и геотопографска подлога у дигиталном растерском облику у размери до 1:50.000.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Катастар садржи и друге податке од значаја који се односе на планирање, управљање и надзор над ловним газдовањем, заштитом дивљачи и стаништима дивљачи у ловишту.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Редни број ловног подручја и редни број ловишта је јединствен и непроменљив.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Подаци се воде у електронској, а по потреби и у штампаној форми.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Централна база садржи нарочито: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податке о ловном подручју: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(1) редни број и назив ловног подручја,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(2) укупну површину ловног подручја,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(3) ловостајем заштићене и трајно заштићене врсте дивљачи у ловном подручју,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(4) друге податке од значаја за Централну базу који се односе на планирање, управљање и надзор над ловним газдовањем, заштитом дивљачи и стаништима дивљачи у ловном подручју;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податке о ловишту: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(1) редни број ловишта и ознаку ловишта,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(2) назив ловишта,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(3) редни број и назив ловног подручја у коме се ловиште налази,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(4) врсту и тип ловишта,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(5) назив и број акта о установљавању ловишта и број службеног гласила у коме је акт о установљавању ловишта објављен,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(6) укупну површину ловишта,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(7) опис, односно површину (ловну и неловну),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(8) структуру површина у ловишту,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(9) власничку структуру шума, шумског земљишта и других површина које се налазе у ловишту;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податке о уговору: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(1) број уговора о давању права на газдовање ловиштем,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(2) подаци о уговорним странама,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(3) датум потписивања уговора,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(4) почетак важења уговора,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(5) датум истека уговора,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(6) опис посебних услова;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податке о кориснику ловишта: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(1) назив,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(2) шифра делатности,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(3) адреса и пребивалиште,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(4) тип корисника ловишта (правно лице основано као јавно предузеће, привредно друштво, други облик предузећа, као и ловачка удружења и друга удружења основана у складу са законом),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(5) овлашћено лице корисника ловишта (основни подаци),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(6) унутрашња организација корисника ловишта,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(7) број, стручна спрема и радна места лица запослених на пословима из области ловства;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податке о газдовању ловиштем: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(1) врсте ловостајем заштићених и трајно заштићених дивљачи у ловишту,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(2) оптималне фондове ловостајем заштићених врста дивљачи из планског документа,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(3) матични фонд гајених ловостајем заштићених врста дивљачи,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(4) процењена бројна стања појединих врста ловостајем заштићених дивљачи које се налазе у ловишту, а које нису гајене врсте дивљачи,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(5) процењена бројна стања појединих трајно заштићених врста дивљачи,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(6) планирани и реализовани одстрел,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(7) подаци о ловцима (лични подаци, број ловне карте),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(8) подаци о издатим дозволама за лов по начину/врсти лова,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(9) подаци о задуженим, искоришћеним, оштећеним, изгубљеним и раздуженим маркицама,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(10) планирано и реализовано уношење дивљачи у ловиште,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(11) планиране и реализоване активности у ловишту у погледу исхране дивљачи,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(12) планиране и реализоване активности у ловишту у погледу здравствене заштите дивљачи,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(13) планиране и реализоване активности у ловишту у погледу изградње, обележавања и одржавања ловних и ловно-техничких објеката,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(14) планиране и реализоване активности у ловишту у погледу спречавања штета на дивљачи и штета од дивљачи,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(15) планирана и реализована инвестициона и друга улагања у ловиште;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податке о гаранцији: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(1) врста гаранције,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(2) износ гаранције према уговору,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(3) износ достављене гаранције,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(4) датум истека гаранције,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(5) други подаци о гаранцији;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Централна база садржи и друге податке од значаја за управљање и надзор над ловним газдовањем, заштиту дивљачи и станишта дивљачи.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Подаци се воде у електронској, а по потреби и у штампаној форми.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Министарство води Катастар и Централну базу за сва ловишта у складу са законом којим се уређује ловство.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Информациону базу података прикупљених у ловишту од значаја за Катастар и Централну базу из става 1. овог члана води корисник ловишта.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Приступ Катастру и Централној бази имају и државни органи надлежни за послове заштите животне средине, надлежни покрајински орган за послове ловства, корисници ловишта и јавност, у складу са дозвољеним или договореним правом приступа.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Јавна предузећа и привредна друштва обрађене податке од од значаја за планирање, управљање и надзор над ловним газдовањем, заштитом дивљачи и стаништима дивљачи за Катастар и Централну базу достављају Министарству, у складу са законом којим се уређује ловство.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3. Садржинa и изглед обрасца за обраду и достављање података за Катастар и Централну базу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Образац за обраду и достављање података за Катастар и Централну базу садржи и податке о јавном предузећу/привредном друштву, лицу које врши унос података у образац (име и презиме, ЈМБГ, степен стручне спреме, радно место), као и месту, датуму и времену уноса података.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Изглед Oбрасца за обраду и достављање података за Катастар и Централну базу дат је у Прилогу, који је одштампан уз овај правилник и чини његов саставни део.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4. Садржинa, начин израде и објављивањe годишњег извештаја о стању дивљачи и ловства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Годишњи извештај о стању дивљачи и ловства садржи нарочито: правни основ за доношење годишњег извештаја, оптималне и матичне фондове гајених ловостајем заштићених врста дивљачи, планиране и реализоване одстреле дивљачи, укупан број ловишта, број издатих ловних карата, располагање средствима буџетских фондова за развој ловства и друге податке значајне за ловство на територији Републике Србије.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Годишњи извештај о стању дивљачи и ловства израђује Министарство у писаној и електронској форми у складу са законом којим се уређује ловство.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Годишњи извештај о стању дивљачи и ловства објављује се на званичном сајту Министарства у року од 30 дана од дана добијања обрађених података од стране јавних предузећа и привредних друштава.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5. Завршна одредба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правилник ступа на снагу осмог дана од дана објављивања у „Службеном гласнику Републике Србије”.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Број 110-00-39/2012-09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10. априла 2012. године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Министар,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Душан Петровић,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drawing>
          <wp:inline distT="0" distB="0" distL="0" distR="0">
            <wp:extent cx="5732145" cy="7872780"/>
            <wp:effectExtent l="0" t="0" r="0" b="0"/>
            <wp:docPr id="0" name="" descr="pravilnik-lovista_Page_1.tiff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87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0"/>
        <w:ind w:left="0"/>
        <w:jc w:val="center"/>
      </w:pPr>
      <w:r>
        <w:drawing>
          <wp:inline distT="0" distB="0" distL="0" distR="0">
            <wp:extent cx="5732145" cy="6735270"/>
            <wp:effectExtent l="0" t="0" r="0" b="0"/>
            <wp:docPr id="0" name="" descr="pravilnik-lovista_Page_2.tiff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673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0"/>
        <w:ind w:left="0"/>
        <w:jc w:val="center"/>
      </w:pPr>
      <w:r>
        <w:drawing>
          <wp:inline distT="0" distB="0" distL="0" distR="0">
            <wp:extent cx="5732145" cy="7356253"/>
            <wp:effectExtent l="0" t="0" r="0" b="0"/>
            <wp:docPr id="0" name="" descr="pravilnik-lovista_Page_3.tiff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356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0"/>
        <w:ind w:left="0"/>
        <w:jc w:val="center"/>
      </w:pPr>
      <w:r>
        <w:drawing>
          <wp:inline distT="0" distB="0" distL="0" distR="0">
            <wp:extent cx="5732145" cy="7618976"/>
            <wp:effectExtent l="0" t="0" r="0" b="0"/>
            <wp:docPr id="0" name="" descr="pravilnik-lovista_Page_4.tiff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61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0"/>
        <w:ind w:left="0"/>
        <w:jc w:val="center"/>
      </w:pPr>
      <w:r>
        <w:drawing>
          <wp:inline distT="0" distB="0" distL="0" distR="0">
            <wp:extent cx="5732145" cy="7920350"/>
            <wp:effectExtent l="0" t="0" r="0" b="0"/>
            <wp:docPr id="0" name="" descr="pravilnik-lovista_Page_5.tiff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92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0"/>
        <w:ind w:left="0"/>
        <w:jc w:val="center"/>
      </w:pPr>
      <w:r>
        <w:drawing>
          <wp:inline distT="0" distB="0" distL="0" distR="0">
            <wp:extent cx="5732145" cy="7868348"/>
            <wp:effectExtent l="0" t="0" r="0" b="0"/>
            <wp:docPr id="0" name="" descr="pravilnik-lovista_Page_6.tiff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86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0"/>
        <w:ind w:left="0"/>
        <w:jc w:val="center"/>
      </w:pPr>
      <w:r>
        <w:drawing>
          <wp:inline distT="0" distB="0" distL="0" distR="0">
            <wp:extent cx="5732145" cy="4687779"/>
            <wp:effectExtent l="0" t="0" r="0" b="0"/>
            <wp:docPr id="0" name="" descr="pravilnik-lovista_Page_7.tiff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68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