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76ff" w14:textId="be076ff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74. став 3. Закона о дивљачи и ловству („Службени гласник РС”, број 18/10),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водопривреде,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ловачким псима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80 од 28. октобра 2011.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начин обуке и коришћења ловачких паса и изглед и садржина идентификационих картица за ловачке псе.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Поједини изрази употребљени у овом правилнику имају следеће значење: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1) </w:t>
      </w:r>
      <w:r>
        <w:rPr>
          <w:rFonts w:ascii="Verdana"/>
          <w:b w:val="false"/>
          <w:i/>
          <w:color w:val="000000"/>
          <w:sz w:val="22"/>
        </w:rPr>
        <w:t>ловачки пси</w:t>
      </w:r>
      <w:r>
        <w:rPr>
          <w:rFonts w:ascii="Verdana"/>
          <w:b w:val="false"/>
          <w:i w:val="false"/>
          <w:color w:val="000000"/>
          <w:sz w:val="22"/>
        </w:rPr>
        <w:t xml:space="preserve"> су пси свих раса који се према критеријумима Кинолошког савеза Републике Србије – чланице Међународне кинолошке федерације (</w:t>
      </w:r>
      <w:r>
        <w:rPr>
          <w:rFonts w:ascii="Verdana"/>
          <w:b w:val="false"/>
          <w:i/>
          <w:color w:val="000000"/>
          <w:sz w:val="22"/>
        </w:rPr>
        <w:t>Fédération Cynologique Internationale – F.C.I.</w:t>
      </w:r>
      <w:r>
        <w:rPr>
          <w:rFonts w:ascii="Verdana"/>
          <w:b w:val="false"/>
          <w:i w:val="false"/>
          <w:color w:val="000000"/>
          <w:sz w:val="22"/>
        </w:rPr>
        <w:t>) користе у лову и који су на основу стандарда ових организација разврстани у F.C.I. групе расних паса,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група III – теријери,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група IV – јазавичари,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група VI – гоничи, трагачи по крви и сродне расе,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група VII – птичари,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група VIII – ретривери, цуњавци и пси за воду;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2) </w:t>
      </w:r>
      <w:r>
        <w:rPr>
          <w:rFonts w:ascii="Verdana"/>
          <w:b w:val="false"/>
          <w:i/>
          <w:color w:val="000000"/>
          <w:sz w:val="22"/>
        </w:rPr>
        <w:t>обука ловачких паса</w:t>
      </w:r>
      <w:r>
        <w:rPr>
          <w:rFonts w:ascii="Verdana"/>
          <w:b w:val="false"/>
          <w:i w:val="false"/>
          <w:color w:val="000000"/>
          <w:sz w:val="22"/>
        </w:rPr>
        <w:t xml:space="preserve"> је дресура (обучавање) и испит за коришћење у лову ловачких паса који се обучавају на територији Републике Србије, у складу са овим правилником и критеријумима F.C.I. и Кинолошког савеза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3) </w:t>
      </w:r>
      <w:r>
        <w:rPr>
          <w:rFonts w:ascii="Verdana"/>
          <w:b w:val="false"/>
          <w:i/>
          <w:color w:val="000000"/>
          <w:sz w:val="22"/>
        </w:rPr>
        <w:t>Кинолошки савез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/>
          <w:color w:val="000000"/>
          <w:sz w:val="22"/>
        </w:rPr>
        <w:t>Републике Србије</w:t>
      </w:r>
      <w:r>
        <w:rPr>
          <w:rFonts w:ascii="Verdana"/>
          <w:b w:val="false"/>
          <w:i w:val="false"/>
          <w:color w:val="000000"/>
          <w:sz w:val="22"/>
        </w:rPr>
        <w:t xml:space="preserve"> (у даљем тексту: КСС) је удружење кинолошких друштава са територије Републике Србије, односно организација која се, између осталог, бави и заштитом, узгојем, унапређењем и евидентирањем чистокрвних раса ловачких паса, организовањем кинолошких манифестација и испита ловачких паса, као и оспособљавањем кинолошких кадрова свих профила (узгајивачи паса, судије, дресери, водичи паса и друго);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4) </w:t>
      </w:r>
      <w:r>
        <w:rPr>
          <w:rFonts w:ascii="Verdana"/>
          <w:b w:val="false"/>
          <w:i/>
          <w:color w:val="000000"/>
          <w:sz w:val="22"/>
        </w:rPr>
        <w:t>ограђени терен за обуку ловачких паса</w:t>
      </w:r>
      <w:r>
        <w:rPr>
          <w:rFonts w:ascii="Verdana"/>
          <w:b w:val="false"/>
          <w:i w:val="false"/>
          <w:color w:val="000000"/>
          <w:sz w:val="22"/>
        </w:rPr>
        <w:t xml:space="preserve"> је ограђени део ловишта одређен ловном основом за газдовање ловиштем на коме се изводи обука ловачких паса, који не може бити мањи од два ни већи од пет хектара;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5) </w:t>
      </w:r>
      <w:r>
        <w:rPr>
          <w:rFonts w:ascii="Verdana"/>
          <w:b w:val="false"/>
          <w:i/>
          <w:color w:val="000000"/>
          <w:sz w:val="22"/>
        </w:rPr>
        <w:t>неограђени/отворени терен за обуку ловачких паса</w:t>
      </w:r>
      <w:r>
        <w:rPr>
          <w:rFonts w:ascii="Verdana"/>
          <w:b w:val="false"/>
          <w:i w:val="false"/>
          <w:color w:val="000000"/>
          <w:sz w:val="22"/>
        </w:rPr>
        <w:t xml:space="preserve"> је део отвореног ловишта, одређен ловном основом за газдовање ловиштем и/или годишњим планом газдовања ловиштем, у коме се налази одређена врста дивљачи за чији лов се у периоду од 1. јула текуће године до 15. маја наредне године обучава одговарајућа раса ловачких паса, а који не може бити мањи од 100 ha површине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6) </w:t>
      </w:r>
      <w:r>
        <w:rPr>
          <w:rFonts w:ascii="Verdana"/>
          <w:b w:val="false"/>
          <w:i/>
          <w:color w:val="000000"/>
          <w:sz w:val="22"/>
        </w:rPr>
        <w:t>вештачки ров за обуку паса јамара</w:t>
      </w:r>
      <w:r>
        <w:rPr>
          <w:rFonts w:ascii="Verdana"/>
          <w:b w:val="false"/>
          <w:i w:val="false"/>
          <w:color w:val="000000"/>
          <w:sz w:val="22"/>
        </w:rPr>
        <w:t xml:space="preserve"> је ров изграђен на делу отвореног/ограђеног ловишта који је ловном основом за газдовање ловиштем одређен за извођење обуке јамара (теријера и јазавичара) за лов дивљачи под земљом, без контакта са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7) </w:t>
      </w:r>
      <w:r>
        <w:rPr>
          <w:rFonts w:ascii="Verdana"/>
          <w:b w:val="false"/>
          <w:i/>
          <w:color w:val="000000"/>
          <w:sz w:val="22"/>
        </w:rPr>
        <w:t>родовник (педигре)</w:t>
      </w:r>
      <w:r>
        <w:rPr>
          <w:rFonts w:ascii="Verdana"/>
          <w:b w:val="false"/>
          <w:i w:val="false"/>
          <w:color w:val="000000"/>
          <w:sz w:val="22"/>
        </w:rPr>
        <w:t xml:space="preserve"> је исправа којом се доказује идентитет ловачког пса и власништво над њим;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8) </w:t>
      </w:r>
      <w:r>
        <w:rPr>
          <w:rFonts w:ascii="Verdana"/>
          <w:b w:val="false"/>
          <w:i/>
          <w:color w:val="000000"/>
          <w:sz w:val="22"/>
        </w:rPr>
        <w:t>књижица ловачког пса</w:t>
      </w:r>
      <w:r>
        <w:rPr>
          <w:rFonts w:ascii="Verdana"/>
          <w:b w:val="false"/>
          <w:i w:val="false"/>
          <w:color w:val="000000"/>
          <w:sz w:val="22"/>
        </w:rPr>
        <w:t xml:space="preserve"> је исправа коју издаје КСС сваком ловачком псу и која га прати током живота у свим активностима у којима учествује, укључујући и обуку;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9) </w:t>
      </w:r>
      <w:r>
        <w:rPr>
          <w:rFonts w:ascii="Verdana"/>
          <w:b w:val="false"/>
          <w:i/>
          <w:color w:val="000000"/>
          <w:sz w:val="22"/>
        </w:rPr>
        <w:t>потврда о употребљивости у лову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/>
          <w:color w:val="000000"/>
          <w:sz w:val="22"/>
        </w:rPr>
        <w:t>(сертификат)</w:t>
      </w:r>
      <w:r>
        <w:rPr>
          <w:rFonts w:ascii="Verdana"/>
          <w:b w:val="false"/>
          <w:i w:val="false"/>
          <w:color w:val="000000"/>
          <w:sz w:val="22"/>
        </w:rPr>
        <w:t xml:space="preserve"> је исправа коју издаје КСС на основу сваког успешно положеног испита ловачког пса (испит урођених особина, испит у раду и/или испит у раду на крвном трагу) којом се доказује да тај ловачки пас може да се користи у лову;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10) </w:t>
      </w:r>
      <w:r>
        <w:rPr>
          <w:rFonts w:ascii="Verdana"/>
          <w:b w:val="false"/>
          <w:i/>
          <w:color w:val="000000"/>
          <w:sz w:val="22"/>
        </w:rPr>
        <w:t>идентификациона картица ловачког пса</w:t>
      </w:r>
      <w:r>
        <w:rPr>
          <w:rFonts w:ascii="Verdana"/>
          <w:b w:val="false"/>
          <w:i w:val="false"/>
          <w:color w:val="000000"/>
          <w:sz w:val="22"/>
        </w:rPr>
        <w:t xml:space="preserve"> је исправа коју на захтев власника ловачког пса или лица овлашћеног од стране власника ловачког пса издаје КСС на основу родовника и потврде о употребљивости у лову;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11) </w:t>
      </w:r>
      <w:r>
        <w:rPr>
          <w:rFonts w:ascii="Verdana"/>
          <w:b w:val="false"/>
          <w:i/>
          <w:color w:val="000000"/>
          <w:sz w:val="22"/>
        </w:rPr>
        <w:t>кинолошки судија</w:t>
      </w:r>
      <w:r>
        <w:rPr>
          <w:rFonts w:ascii="Verdana"/>
          <w:b w:val="false"/>
          <w:i w:val="false"/>
          <w:color w:val="000000"/>
          <w:sz w:val="22"/>
        </w:rPr>
        <w:t xml:space="preserve"> је лице које оцењује ловачког пса на испиту за коришћење у лову;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12) </w:t>
      </w:r>
      <w:r>
        <w:rPr>
          <w:rFonts w:ascii="Verdana"/>
          <w:b w:val="false"/>
          <w:i/>
          <w:color w:val="000000"/>
          <w:sz w:val="22"/>
        </w:rPr>
        <w:t>дресер</w:t>
      </w:r>
      <w:r>
        <w:rPr>
          <w:rFonts w:ascii="Verdana"/>
          <w:b w:val="false"/>
          <w:i w:val="false"/>
          <w:color w:val="000000"/>
          <w:sz w:val="22"/>
        </w:rPr>
        <w:t xml:space="preserve"> је лице које је оспособљено да врши обучавање ловачког пса за одређене радње у лову</w:t>
      </w:r>
      <w:r>
        <w:rPr>
          <w:rFonts w:ascii="Verdana"/>
          <w:b w:val="false"/>
          <w:i/>
          <w:color w:val="000000"/>
          <w:sz w:val="22"/>
        </w:rPr>
        <w:t>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НАЧИН ОБУКЕ ЛОВАЧКИХ ПАСА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Обука ловачког пса врши се тако да се пас одговарајуће расе оспособи и усаврши за лов одређене врсте дивљачи.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Дресура ловачког пса врши се тако да ловачки пас, осим урођених рефлексних реакција, постепено стекне и условне рефлексе на одређене надражаје и утицаје (звучне и визуелне команде), односно да ловачки пас стекне навику да на команду коју му изда дресер механички изведе одређену радњу.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Ловачки пас дресира се до навршених девет месеци живота у собним (кућним) и/или дворишним условима тако да научи да извршава основне радње: долазак на позив; вођење на повоцу; вођење без повоца; звучне команде (глас или звиждук); визуелне команде; навикавање на пуцањ; доношење (апортирање) и слично.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Ловачки пас дресира се од навршених четири месеца живота, у зависности од расе, тако да се оспособи и усаврши за рад на земљи (тражење, маркирање и мир на дивљач, доношење одстрељене дивљачи, тражење рањене дивљачи и слично), рад у води и рад под земљом.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Дресура из члана 5. став 2. овог правилника врши се за: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групни лов на дивље свиње – на ограђеном терену за обуку ловачких паса;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лов на ситну дивљач и крупне звери – на неограђеном/отвореном терену за обуку ловачких паса;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лов дивљачи под земљом – у вештачком рову за обуку паса јамара;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проналажење рањене дивљачи – на делу ловишта који је одређен ловном основом за газдовање ловиштем и/или годишњим планом газдовања ловиштем.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Обука ловачког пса завршава се полагањем испита за коришћење у лову ловачког пса који може бити испит за утврђивање урођених особина ловачког пса и/или радни испит ловачког пса (у даљем тексту: радни испит) који се полажу пред кинолошким судијом.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Испитом за утврђивање урођених особина проверавају се наследна својства, односно степен радне способности на основу урођених особина ловачког пса у зависности од расе, a полаже га ловачки пас са родовником који се дресира на начин одређен у члану 5. овог правилника и то у периоду од навршених девет месеци до навршених 24 месеца живота.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 за утврђивање урођених особина организује се на делу отвореног/ограђеног ловишта.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Ловачки пас у току дресуре из члана 5. став 2. овог правилника може да учествује у лову до навршених 24 месеца живота без положеног испита за коришћење у лову.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Радним испитом проверавају се способност, обученост и употребљивост ловачког пса у лову, а полаже се у зависности од начина коришћења ловачког пса из одговарајуће F.C.I. групе расних ловачких паса у лову.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Радни испит организује се на делу отвореног/ограђеног ловишта у коме је дозвољено коришћење одговарајуће расе ловачких паса.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Радни испит којим се проверава употребљивост птичара у лову организује се у отвореном ловишту у коме, осим ситне дивљачи, може да се налази и крупна дивљач, при чему обучавани птичар приликом полагања радног испита не сме да узнемири, а нарочито не сме да гони крупне дивље преживаре.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Радни испит којим се проверава употребљивост ловачког пса у лову на дивље свиње, крупне звери (вук, шакал, лисица и друге ловостајем заштићене врсте звери) и зеца, организује се у отвореном ловишту у коме се налази крупна дивљач, при чему обучавани ловачки пас приликом полагања радног испита не сме да узнемири, а нарочито не сме да гони крупне дивље преживаре.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2. овог члана, радни испит којим се проверава употребљивост гонича и јамара у лову на дивље свиње може да се организује и у ограђеном терену за обуку ловачких паса у коме се искључиво налазе дивље свиње.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Радни испит којим се проверава употребљивост јамара у лову (под земљом и над земљом) организује се у делу отвореног/ограђеног ловишта са вештачким ровом за обуку паса јамара, при чему обучавани јамар приликом полагања радног испита не сме да оствари директан контакт са дивљачи.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Радни испит којим се проверава употребљивост ловачког пса за рад на крвном трагу дивљачи (вештачком или природном) старом најмање 12 сати и дугом најмање 600 m организује се у делу отвореног/ограђеног ловишта, при чему обучавани ловачки пас приликом полагања радног испита на крвном трагу не сме да узнемири, а нарочито не сме да гони крупну дивљач.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Ловачки пас који полаже испит за утврђивање урођених особина, односно радни испит добија оцену о употребљивости у лову, коју кинолошки судија уписује у књижицу ловачког пса.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успешно положеног испита из става 1. овог члана издаje се потврда о употребљивости у лову (у даљем тексту: потврда) која садржи: број потврде; назив расе, име, датум штењења, пол, разред коме припада, број родовне књиге, тетовир број и/или број микрочипа ловачког пса; податке о власнику ловачког пса (име и презиме, ЈМБГ, адреса и пребивалиште); врсту положеног испита за који се издаје потврда; датум и место полагања испита; оцену којом је ловачки пас оцењен на испиту; број књижице ловачког пса; потпис и печат овлашћеног лица КСС.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НАЧИН КОРИШЋЕЊА ЛОВАЧКИХ ПАСА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Птичари, цуњавци, ретривери, теријери и јазавичари користе се за лов ситне пернате дивљачи, а за лов зеца поред наведених раса ловачких паса и гоничи.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Гоничи, теријери, јазавичари, птичари и цуњавци користе се за лов дивљих свиња и крупних звери.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Теријери и јазавичари користе се за лов јамарењем.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лов могу да се користе и друге расе ловачких паса признате од F.C.I. или КСС.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Ловачки пас који има положен испит у раду на крвном трагу користи се за препознавање и праћење крвног трага крупне дивљачи или крупне звери рањене у појединачном лову, односно за препознавање и праћење крвног трага дивље свиње или крупне звери рањене у групном лову (у даљем тексту: трагач по крвном трагу).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групном лову користи се најмање један ловачки пас одговарајуће расе на групу до десет ловаца.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лову соколарењем користи се најмање један пас птичар на једног ловца – соколара.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Стручни пратилац/пратилац/вођа групе прати коришћење ловачког пса у лову и отказује, односно прекида лов ако се ловачки пас неуобичајено понаша.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Ловачки пас користи се у лову у периоду од свитања (излазак сунца) до сумрака (залазак сунца), осим трагача по крвном трагу који може да се користи и ноћу.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Ловачки пас користи се у току трајања ловне сезоне у складу са прописом којим се уређује трајање ловне сезоне на ловостајем заштићене врсте дивљачи.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ИЗГЛЕД И САДРЖИНA ИДЕНТИФИКАЦИОНИХ КАРТИЦА ЗА ЛОВАЧКЕ ПСЕ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Идентификациона картица ловачког пса израђује се од тврде хартије правоугаоног облика, димензија 54 х 86,6 mm са доминантним зеленим тоновима, на Oбрасцу – Идентификациона картица ловачког пса, који је одштампан уз овај правилник и чини његов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предњој страни идентификационе картице ловачког пса наводе се подаци из члана 19. тач. 1) – 5) овог правилника, а на полеђини подаци из члана 19. тач. 6) – 10)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Идентификациона картица ловачког пса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логотип КСС;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регистрациони број идентификационе картице ловачког пса;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назив: „ИДЕНТИФИКАЦИОНА КАРТИЦА ЛОВАЧКОГ ПСА”;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име ловачког пса;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назив расе ловачког пса;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датум штењења ловачког пса;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пол ловачког пса;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број микрочипа ловачког пса;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број потврде;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број родовника;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место печата и потпис овлашћеног лица КСС.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ПРЕЛАЗНА И ЗАВРШНА ОДРЕДБА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почетка примене овог правилника престаје да важи Правилник о условима под којима ловац туриста може ловити и изводити обуку ловачких паса у ловиштима на територији Републике Србије („Службени гласник РС”, број 35/94).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од 1. априла 2012.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110-00-147/2011-09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23. септембра 2011.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4305300" cy="6985000"/>
            <wp:effectExtent l="0" t="0" r="0" b="0"/>
            <wp:docPr id="0" name="" descr="lovacki-psi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