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9F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9F6B99">
              <w:rPr>
                <w:rFonts w:ascii="Times New Roman" w:hAnsi="Times New Roman"/>
                <w:sz w:val="24"/>
                <w:szCs w:val="24"/>
                <w:lang w:val="sr-Cyrl-RS"/>
              </w:rPr>
              <w:t>469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E17FA3">
              <w:rPr>
                <w:rFonts w:ascii="Times New Roman" w:hAnsi="Times New Roman"/>
                <w:sz w:val="24"/>
                <w:szCs w:val="24"/>
                <w:lang w:val="sr-Cyrl-RS"/>
              </w:rPr>
              <w:t>1/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64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F6B99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643944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bookmarkStart w:id="0" w:name="_GoBack"/>
            <w:bookmarkEnd w:id="0"/>
            <w:r w:rsidR="00437946">
              <w:rPr>
                <w:rFonts w:ascii="Times New Roman" w:hAnsi="Times New Roman"/>
                <w:sz w:val="24"/>
                <w:szCs w:val="24"/>
              </w:rPr>
              <w:t>.</w:t>
            </w:r>
            <w:r w:rsidR="009F6B99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спроводи поступак </w:t>
      </w:r>
      <w:r w:rsidR="00DD7CD4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набавке </w:t>
      </w:r>
      <w:r w:rsidR="009F6B99" w:rsidRPr="009F6B9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службене одеће (заштитне теренске одеће и обуће шумарских и ловних инспектора)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9736"/>
      </w:tblGrid>
      <w:tr w:rsidR="009F6B99" w:rsidRPr="00A4562B" w:rsidTr="00DD7CD4">
        <w:trPr>
          <w:trHeight w:val="283"/>
          <w:jc w:val="center"/>
        </w:trPr>
        <w:tc>
          <w:tcPr>
            <w:tcW w:w="9085" w:type="dxa"/>
          </w:tcPr>
          <w:tbl>
            <w:tblPr>
              <w:tblW w:w="8574" w:type="dxa"/>
              <w:jc w:val="center"/>
              <w:tblLook w:val="04A0" w:firstRow="1" w:lastRow="0" w:firstColumn="1" w:lastColumn="0" w:noHBand="0" w:noVBand="1"/>
            </w:tblPr>
            <w:tblGrid>
              <w:gridCol w:w="9520"/>
            </w:tblGrid>
            <w:tr w:rsidR="009F6B99" w:rsidRPr="00C372D9" w:rsidTr="00A40F29">
              <w:trPr>
                <w:trHeight w:val="288"/>
                <w:jc w:val="center"/>
              </w:trPr>
              <w:tc>
                <w:tcPr>
                  <w:tcW w:w="8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970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304"/>
                  </w:tblGrid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F6B99" w:rsidRPr="00C372D9" w:rsidRDefault="009F6B99" w:rsidP="009F6B99">
                        <w:pPr>
                          <w:pStyle w:val="ListParagraph"/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</w:pPr>
                      </w:p>
                    </w:tc>
                  </w:tr>
                  <w:tr w:rsidR="009F6B99" w:rsidRPr="00C372D9" w:rsidTr="008558B1">
                    <w:trPr>
                      <w:trHeight w:val="310"/>
                      <w:jc w:val="center"/>
                    </w:trPr>
                    <w:tc>
                      <w:tcPr>
                        <w:tcW w:w="9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F6B99" w:rsidRPr="00C372D9" w:rsidRDefault="009F6B99" w:rsidP="009F6B9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bCs/>
                            <w:lang w:val="sr-Cyrl-RS"/>
                          </w:rPr>
                          <w:t>Јакна зимска</w:t>
                        </w:r>
                      </w:p>
                    </w:tc>
                  </w:tr>
                  <w:tr w:rsidR="009F6B99" w:rsidRPr="00C372D9" w:rsidTr="008558B1">
                    <w:trPr>
                      <w:trHeight w:val="373"/>
                      <w:jc w:val="center"/>
                    </w:trPr>
                    <w:tc>
                      <w:tcPr>
                        <w:tcW w:w="9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ind w:left="36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sr-Cyrl-R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sr-Cyrl-RS"/>
                          </w:rPr>
                          <w:t>Опис</w:t>
                        </w:r>
                      </w:p>
                    </w:tc>
                  </w:tr>
                  <w:tr w:rsidR="009F6B99" w:rsidRPr="00C372D9" w:rsidTr="008558B1">
                    <w:trPr>
                      <w:trHeight w:val="183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</w:pPr>
                        <w:proofErr w:type="spellStart"/>
                        <w:r w:rsidRPr="00C372D9">
                          <w:rPr>
                            <w:rFonts w:ascii="Times New Roman" w:hAnsi="Times New Roman"/>
                            <w:color w:val="000000"/>
                          </w:rPr>
                          <w:t>Јакна</w:t>
                        </w:r>
                        <w:proofErr w:type="spellEnd"/>
                        <w:r w:rsidRPr="00C372D9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 xml:space="preserve">дизајна који пружа оптималну функционалност за зимске услове са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>Atmotec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 xml:space="preserve"> мембраном која је у потпуности водоотпорна и која омогућава кожи да дише. Јакна са 2Х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 xml:space="preserve"> DWR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 xml:space="preserve">памучним слојем који креира дуплу танку хидрофобну површину која спречава одећу да упија капљице.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 xml:space="preserve">Silvergear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 xml:space="preserve">нано тканина која има анти бактеријско и анти мирисна својства,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 xml:space="preserve">duraheat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>тканина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 xml:space="preserve"> koja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>има инсулаторске способности. Четири унутрашња џепа. Два џепа са магнетним дугмићима. Наполео водоотпорни џеп за документа. Два џепа у грудном делу. Регулатори за дужину рукава. Водоотпорни шавови на одећи.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 xml:space="preserve"> Капуљача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>са могучношћу скидања.  Својом структуром јакна омогућава изузетну слободу кретања свом кориснику. Боја јакне је зелена.</w:t>
                        </w:r>
                      </w:p>
                    </w:tc>
                  </w:tr>
                  <w:tr w:rsidR="009F6B99" w:rsidRPr="00C372D9" w:rsidTr="008558B1">
                    <w:trPr>
                      <w:trHeight w:val="346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color w:val="000000"/>
                            <w:lang w:val="sr-Cyrl-RS"/>
                          </w:rPr>
                          <w:t>Панталоне зимска</w:t>
                        </w:r>
                      </w:p>
                    </w:tc>
                  </w:tr>
                  <w:tr w:rsidR="009F6B99" w:rsidRPr="00C372D9" w:rsidTr="008558B1">
                    <w:trPr>
                      <w:trHeight w:val="328"/>
                      <w:jc w:val="center"/>
                    </w:trPr>
                    <w:tc>
                      <w:tcPr>
                        <w:tcW w:w="9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lang w:val="sr-Cyrl-R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color w:val="000000"/>
                            <w:lang w:val="sr-Cyrl-RS"/>
                          </w:rPr>
                          <w:t>Опис</w:t>
                        </w:r>
                      </w:p>
                    </w:tc>
                  </w:tr>
                  <w:tr w:rsidR="009F6B99" w:rsidRPr="00C372D9" w:rsidTr="009F6B99">
                    <w:trPr>
                      <w:trHeight w:val="2393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lang w:val="sr-Cyrl-RS" w:eastAsia="sr-Cyrl-CS"/>
                          </w:rPr>
                          <w:t>Панталоне</w:t>
                        </w:r>
                        <w:r w:rsidRPr="00C372D9">
                          <w:rPr>
                            <w:rFonts w:ascii="Times New Roman" w:hAnsi="Times New Roman"/>
                            <w:b/>
                            <w:lang w:val="pl-PL" w:eastAsia="sr-Cyrl-CS"/>
                          </w:rPr>
                          <w:t xml:space="preserve"> </w:t>
                        </w:r>
                        <w:r w:rsidRPr="00C372D9">
                          <w:rPr>
                            <w:rFonts w:ascii="Times New Roman" w:hAnsi="Times New Roman"/>
                            <w:lang w:val="sr-Cyrl-CS" w:eastAsia="sr-Cyrl-CS"/>
                          </w:rPr>
                          <w:t xml:space="preserve"> су екстра топле, лагане и тихе при кретању. Дизајн оличава најбољу оптималну функционалност за зимске услове са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>Atmotec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 xml:space="preserve"> мембраном која је у потпуности водоотпорна и која омогућава кожи да дише. Панталоне имају 2Х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 xml:space="preserve"> DWR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 xml:space="preserve">памучни слој који креира дуплу танку хидрофобну површину која спречава одећу да упија капљице.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 xml:space="preserve">Silvergear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 xml:space="preserve">нано тканина која има бактеријско и анти мирисна својства,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 xml:space="preserve">duraheat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>тканина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Latn-RS"/>
                          </w:rPr>
                          <w:t xml:space="preserve"> koja </w:t>
                        </w:r>
                        <w:r w:rsidRPr="00C372D9"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  <w:t>има инсулаторске способности. Два џепа на предњој страни панталона, задњи џеп са шлицом. Регулатор дужине на чланковима. Својом структуром омогућава изузетну слободу при кретању свом кориснику. Боја панталона је зелена.</w:t>
                        </w:r>
                      </w:p>
                      <w:p w:rsidR="009F6B9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</w:pPr>
                      </w:p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</w:pP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ind w:firstLine="360"/>
                          <w:jc w:val="center"/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  <w:lastRenderedPageBreak/>
                          <w:t>3.</w:t>
                        </w:r>
                        <w:r w:rsidRPr="00C372D9"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  <w:tab/>
                          <w:t>Јакна летња</w:t>
                        </w: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ind w:firstLine="360"/>
                          <w:jc w:val="center"/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  <w:t>Опис</w:t>
                        </w: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lang w:val="sr-Cyrl-RS" w:eastAsia="sr-Cyrl-CS"/>
                          </w:rPr>
                          <w:t>Јакна дизајна који пружа оптималну функционалност за летње услове.</w:t>
                        </w:r>
                      </w:p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lang w:val="sr-Cyrl-RS" w:eastAsia="sr-Cyrl-CS"/>
                          </w:rPr>
                          <w:t>Дупли DWR водоодбојни памучни слој, Silvergear нано тканина која има бактеријско и анти мирисна својства, Cottonsuede комбинација памука и полиестера. Хибрид технологија која омочућава лако скидање рукава. Сиситем за вентилацију на леђима. Два џепа у грудном делу.</w:t>
                        </w: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color w:val="000000"/>
                            <w:lang w:val="sr-Cyrl-RS"/>
                          </w:rPr>
                          <w:t>Панталоне летње</w:t>
                        </w: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lang w:val="sr-Cyrl-R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color w:val="000000"/>
                            <w:lang w:val="sr-Cyrl-RS"/>
                          </w:rPr>
                          <w:t>Опис</w:t>
                        </w:r>
                      </w:p>
                    </w:tc>
                  </w:tr>
                  <w:tr w:rsidR="009F6B99" w:rsidRPr="00C372D9" w:rsidTr="008558B1">
                    <w:trPr>
                      <w:trHeight w:val="1691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lang w:val="sr-Cyrl-R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lang w:val="sr-Cyrl-RS"/>
                          </w:rPr>
                          <w:t>Панталоне  су лагане и тихе при кретању. Дизајн оличава најбољу оптималну функционалност за летње услове. Дупли DWR водоодбојни памучни слој, Silvergear нано тканина која има бактеријско и анти мирисна својства, Cottonsuede комбинација памука и полиестера. Два сиситема за вентилацију са стране панталона, регулатори на чланковима, два теретна џепа са магнетним дугмићима који омогућавају брз приступ.</w:t>
                        </w:r>
                      </w:p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lang w:val="sr-Cyrl-RS"/>
                          </w:rPr>
                        </w:pP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  <w:t>Ципеле</w:t>
                        </w: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ind w:firstLine="360"/>
                          <w:jc w:val="center"/>
                          <w:rPr>
                            <w:rFonts w:ascii="Times New Roman" w:hAnsi="Times New Roman"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  <w:t>Опис</w:t>
                        </w: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Cs/>
                            <w:iCs/>
                            <w:lang w:val="sr-Cyrl-RS" w:eastAsia="sr-Cyrl-CS"/>
                          </w:rPr>
                          <w:t xml:space="preserve">Ципеле су направљене од комбинације праве коже и полиамида ради веће издржљивости. Поседују MTD мембрану која је водонепропусна и ветронепропусна док омогућава дисање стопала током кретања. Гумена ојачања штите ципеле дуж рубова ђона за кретање по каменитом терену. Ђонови прилагођени за кретање по блату, камењеу и тешком терену уопште, а лаки за чишћење. Дизајн ципеле подржава глежњеве током ходања, ђонови поседују слој за ублажавање вибрације. </w:t>
                        </w: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  <w:t xml:space="preserve">Гумене чизме </w:t>
                        </w: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b/>
                            <w:lang w:val="sr-Cyrl-RS" w:eastAsia="sr-Cyrl-CS"/>
                          </w:rPr>
                          <w:t>Опис</w:t>
                        </w:r>
                      </w:p>
                    </w:tc>
                  </w:tr>
                  <w:tr w:rsidR="009F6B99" w:rsidRPr="00C372D9" w:rsidTr="008558B1">
                    <w:trPr>
                      <w:trHeight w:val="288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lang w:val="sr-Cyrl-RS" w:eastAsia="sr-Cyrl-CS"/>
                          </w:rPr>
                          <w:t>Горњи део – већински састојак је Gooma Plus природне гума</w:t>
                        </w:r>
                      </w:p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lang w:val="sr-Cyrl-RS" w:eastAsia="sr-Cyrl-CS"/>
                          </w:rPr>
                          <w:t>Постава- полиамид</w:t>
                        </w:r>
                      </w:p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lang w:val="sr-Cyrl-RS" w:eastAsia="sr-Cyrl-CS"/>
                          </w:rPr>
                          <w:t>Уложак- Softex постављена чарапа са абсорбујућом пеном</w:t>
                        </w:r>
                      </w:p>
                      <w:p w:rsidR="009F6B99" w:rsidRPr="00C372D9" w:rsidRDefault="009F6B99" w:rsidP="009F6B99">
                        <w:pPr>
                          <w:jc w:val="both"/>
                          <w:rPr>
                            <w:rFonts w:ascii="Times New Roman" w:hAnsi="Times New Roman"/>
                            <w:lang w:val="sr-Cyrl-RS" w:eastAsia="sr-Cyrl-CS"/>
                          </w:rPr>
                        </w:pPr>
                        <w:r w:rsidRPr="00C372D9">
                          <w:rPr>
                            <w:rFonts w:ascii="Times New Roman" w:hAnsi="Times New Roman"/>
                            <w:lang w:val="sr-Cyrl-RS" w:eastAsia="sr-Cyrl-CS"/>
                          </w:rPr>
                          <w:t>Спољашњост – гума</w:t>
                        </w:r>
                      </w:p>
                    </w:tc>
                  </w:tr>
                  <w:tr w:rsidR="009F6B99" w:rsidRPr="00C372D9" w:rsidTr="008558B1">
                    <w:trPr>
                      <w:trHeight w:val="396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6B99" w:rsidRPr="00C372D9" w:rsidRDefault="009F6B99" w:rsidP="009F6B99">
                        <w:pPr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9F6B99" w:rsidRPr="00C372D9" w:rsidTr="008558B1">
                    <w:trPr>
                      <w:trHeight w:val="396"/>
                      <w:jc w:val="center"/>
                    </w:trPr>
                    <w:tc>
                      <w:tcPr>
                        <w:tcW w:w="9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6B99" w:rsidRPr="00C372D9" w:rsidRDefault="009F6B99" w:rsidP="009F6B99">
                        <w:pPr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9F6B99" w:rsidRPr="00C372D9" w:rsidRDefault="009F6B99" w:rsidP="009F6B99"/>
              </w:tc>
            </w:tr>
          </w:tbl>
          <w:p w:rsidR="009F6B99" w:rsidRDefault="009F6B99" w:rsidP="009F6B99"/>
        </w:tc>
      </w:tr>
    </w:tbl>
    <w:p w:rsidR="008635E5" w:rsidRDefault="008635E5" w:rsidP="00A456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FB77D5" w:rsidRDefault="00FB77D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1 комад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-зимска јакна, </w:t>
      </w:r>
      <w:r w:rsidR="009F6B99" w:rsidRP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31 комад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-зимске панталоне, </w:t>
      </w:r>
      <w:r w:rsidR="009F6B99" w:rsidRP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3 комада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 летња јакна, </w:t>
      </w:r>
      <w:r w:rsidR="009F6B99" w:rsidRP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3 комада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-летње панталоне, </w:t>
      </w:r>
      <w:r w:rsidR="009F6B99" w:rsidRP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3 комада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-теренске ципеле и </w:t>
      </w:r>
      <w:r w:rsidR="009F6B99" w:rsidRP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3 комада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-гумене чизме ,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 спецификацији тражених добара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7137F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Величине ће бити достављене накнадно.</w:t>
      </w:r>
    </w:p>
    <w:p w:rsidR="009F6B99" w:rsidRDefault="009F6B99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A4562B" w:rsidRPr="00FB77D5" w:rsidRDefault="00A4562B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8635E5" w:rsidRPr="00B85803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lastRenderedPageBreak/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  <w:r w:rsidR="00B858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580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Процењена вредност набавке је </w:t>
      </w:r>
      <w:r w:rsidR="002C4E15" w:rsidRPr="002C4E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700</w:t>
      </w:r>
      <w:r w:rsidR="004250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C4E15" w:rsidRPr="002C4E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000</w:t>
      </w:r>
      <w:r w:rsidR="00B85803" w:rsidRPr="002C4E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,00 динара</w:t>
      </w:r>
      <w:r w:rsidR="00B8580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A4562B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149/20 и 40/21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</w:t>
      </w:r>
      <w:r w:rsidR="00453D9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, функција 420,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="002C4E15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426129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 202</w:t>
      </w:r>
      <w:r w:rsid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DD7CD4">
        <w:rPr>
          <w:rFonts w:ascii="Times New Roman" w:eastAsia="Times New Roman" w:hAnsi="Times New Roman"/>
          <w:iCs/>
          <w:sz w:val="24"/>
          <w:szCs w:val="24"/>
          <w:lang w:val="sr-Cyrl-RS"/>
        </w:rPr>
        <w:t>1</w:t>
      </w:r>
      <w:r w:rsidR="009F6B99">
        <w:rPr>
          <w:rFonts w:ascii="Times New Roman" w:eastAsia="Times New Roman" w:hAnsi="Times New Roman"/>
          <w:iCs/>
          <w:sz w:val="24"/>
          <w:szCs w:val="24"/>
          <w:lang w:val="sr-Cyrl-RS"/>
        </w:rPr>
        <w:t>0</w:t>
      </w:r>
      <w:r w:rsidR="00AE113C" w:rsidRPr="00AE113C">
        <w:rPr>
          <w:rFonts w:ascii="Times New Roman" w:eastAsia="Times New Roman" w:hAnsi="Times New Roman"/>
          <w:iCs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0D280E">
        <w:rPr>
          <w:rFonts w:ascii="Times New Roman" w:eastAsia="Times New Roman" w:hAnsi="Times New Roman"/>
          <w:b/>
          <w:lang w:val="sr-Cyrl-RS"/>
        </w:rPr>
        <w:t>22</w:t>
      </w:r>
      <w:r w:rsidR="005A0348" w:rsidRPr="00AE113C">
        <w:rPr>
          <w:rFonts w:ascii="Times New Roman" w:eastAsia="Times New Roman" w:hAnsi="Times New Roman"/>
          <w:b/>
          <w:lang w:val="sr-Cyrl-RS"/>
        </w:rPr>
        <w:t>.</w:t>
      </w:r>
      <w:r w:rsidR="000D280E">
        <w:rPr>
          <w:rFonts w:ascii="Times New Roman" w:eastAsia="Times New Roman" w:hAnsi="Times New Roman"/>
          <w:b/>
          <w:lang w:val="sr-Cyrl-RS"/>
        </w:rPr>
        <w:t>11</w:t>
      </w:r>
      <w:r w:rsidRPr="00AE113C">
        <w:rPr>
          <w:rFonts w:ascii="Times New Roman" w:eastAsia="Times New Roman" w:hAnsi="Times New Roman"/>
          <w:b/>
          <w:lang w:val="sr-Latn-RS"/>
        </w:rPr>
        <w:t>.202</w:t>
      </w:r>
      <w:r w:rsidR="00BC761A" w:rsidRPr="00AE113C">
        <w:rPr>
          <w:rFonts w:ascii="Times New Roman" w:eastAsia="Times New Roman" w:hAnsi="Times New Roman"/>
          <w:b/>
          <w:lang w:val="sr-Cyrl-RS"/>
        </w:rPr>
        <w:t>1</w:t>
      </w:r>
      <w:r w:rsidRPr="00AE113C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 w:rsidRPr="00AE113C">
        <w:rPr>
          <w:rFonts w:ascii="Times New Roman" w:eastAsia="Times New Roman" w:hAnsi="Times New Roman"/>
          <w:b/>
          <w:lang w:val="sr-Cyrl-CS"/>
        </w:rPr>
        <w:t>до 1</w:t>
      </w:r>
      <w:r w:rsidR="00BC761A" w:rsidRPr="00AE113C">
        <w:rPr>
          <w:rFonts w:ascii="Times New Roman" w:eastAsia="Times New Roman" w:hAnsi="Times New Roman"/>
          <w:b/>
          <w:lang w:val="sr-Cyrl-CS"/>
        </w:rPr>
        <w:t>2</w:t>
      </w:r>
      <w:r w:rsidR="005A0348" w:rsidRPr="00AE113C">
        <w:rPr>
          <w:rFonts w:ascii="Times New Roman" w:eastAsia="Times New Roman" w:hAnsi="Times New Roman"/>
          <w:b/>
          <w:lang w:val="sr-Cyrl-CS"/>
        </w:rPr>
        <w:t>:</w:t>
      </w:r>
      <w:r w:rsidR="00BC761A" w:rsidRPr="00AE113C">
        <w:rPr>
          <w:rFonts w:ascii="Times New Roman" w:eastAsia="Times New Roman" w:hAnsi="Times New Roman"/>
          <w:b/>
          <w:lang w:val="sr-Cyrl-CS"/>
        </w:rPr>
        <w:t>00</w:t>
      </w:r>
      <w:r w:rsidRPr="00AE113C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за </w:t>
      </w:r>
      <w:r w:rsidR="00DD7CD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набавку </w:t>
      </w:r>
      <w:r w:rsidR="009F6B99" w:rsidRPr="009F6B99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службене одеће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бр.</w:t>
      </w:r>
      <w:r w:rsidR="00885AC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404-02-</w:t>
      </w:r>
      <w:r w:rsidR="009F6B99">
        <w:rPr>
          <w:rFonts w:ascii="Times New Roman" w:eastAsia="Times New Roman" w:hAnsi="Times New Roman"/>
          <w:b/>
          <w:sz w:val="24"/>
          <w:szCs w:val="24"/>
          <w:lang w:val="sr-Cyrl-CS"/>
        </w:rPr>
        <w:t>469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A4562B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</w:t>
      </w:r>
      <w:r w:rsidRPr="00BC761A">
        <w:rPr>
          <w:rFonts w:ascii="Times New Roman" w:eastAsia="Times New Roman" w:hAnsi="Times New Roman"/>
          <w:sz w:val="24"/>
          <w:szCs w:val="24"/>
          <w:lang w:val="sr-Cyrl-CS"/>
        </w:rPr>
        <w:t>110-00-115/2020-02 од 17.10 2020. године,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E17FA3" w:rsidRPr="00DD7CD4" w:rsidRDefault="00BC761A" w:rsidP="00DD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9F6B9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469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A4562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9F6B9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469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9F6B9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 позива за подношење понуда у поступку набавке</w:t>
      </w:r>
      <w:r w:rsidR="0098154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за обнову лиценци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  <w:hideMark/>
          </w:tcPr>
          <w:p w:rsidR="00BC761A" w:rsidRPr="00DD7CD4" w:rsidRDefault="009F6B9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Зимске јакне</w:t>
            </w:r>
          </w:p>
        </w:tc>
        <w:tc>
          <w:tcPr>
            <w:tcW w:w="1559" w:type="dxa"/>
            <w:hideMark/>
          </w:tcPr>
          <w:p w:rsidR="00BC761A" w:rsidRPr="00DD7CD4" w:rsidRDefault="007137FB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F473B9" w:rsidTr="00174696">
        <w:trPr>
          <w:trHeight w:val="849"/>
          <w:jc w:val="center"/>
        </w:trPr>
        <w:tc>
          <w:tcPr>
            <w:tcW w:w="2507" w:type="dxa"/>
          </w:tcPr>
          <w:p w:rsidR="00F473B9" w:rsidRDefault="009F6B99" w:rsidP="00BC761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Зимске панталоне</w:t>
            </w:r>
          </w:p>
        </w:tc>
        <w:tc>
          <w:tcPr>
            <w:tcW w:w="1559" w:type="dxa"/>
          </w:tcPr>
          <w:p w:rsidR="00F473B9" w:rsidRDefault="007137FB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F473B9" w:rsidTr="00174696">
        <w:trPr>
          <w:trHeight w:val="849"/>
          <w:jc w:val="center"/>
        </w:trPr>
        <w:tc>
          <w:tcPr>
            <w:tcW w:w="2507" w:type="dxa"/>
          </w:tcPr>
          <w:p w:rsidR="00F473B9" w:rsidRDefault="009F6B99" w:rsidP="00BC761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Летње јакне</w:t>
            </w:r>
          </w:p>
        </w:tc>
        <w:tc>
          <w:tcPr>
            <w:tcW w:w="1559" w:type="dxa"/>
          </w:tcPr>
          <w:p w:rsidR="00F473B9" w:rsidRDefault="007137FB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9F6B99" w:rsidTr="00174696">
        <w:trPr>
          <w:trHeight w:val="849"/>
          <w:jc w:val="center"/>
        </w:trPr>
        <w:tc>
          <w:tcPr>
            <w:tcW w:w="2507" w:type="dxa"/>
          </w:tcPr>
          <w:p w:rsidR="009F6B99" w:rsidRDefault="009F6B99" w:rsidP="00BC761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Летње панталоне</w:t>
            </w:r>
          </w:p>
        </w:tc>
        <w:tc>
          <w:tcPr>
            <w:tcW w:w="1559" w:type="dxa"/>
          </w:tcPr>
          <w:p w:rsidR="009F6B99" w:rsidRDefault="007137FB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9F6B99" w:rsidTr="00174696">
        <w:trPr>
          <w:trHeight w:val="849"/>
          <w:jc w:val="center"/>
        </w:trPr>
        <w:tc>
          <w:tcPr>
            <w:tcW w:w="2507" w:type="dxa"/>
          </w:tcPr>
          <w:p w:rsidR="009F6B99" w:rsidRDefault="009F6B99" w:rsidP="00BC761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Теренске ципеле</w:t>
            </w:r>
          </w:p>
        </w:tc>
        <w:tc>
          <w:tcPr>
            <w:tcW w:w="1559" w:type="dxa"/>
          </w:tcPr>
          <w:p w:rsidR="009F6B99" w:rsidRDefault="007137FB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9F6B99" w:rsidTr="00174696">
        <w:trPr>
          <w:trHeight w:val="849"/>
          <w:jc w:val="center"/>
        </w:trPr>
        <w:tc>
          <w:tcPr>
            <w:tcW w:w="2507" w:type="dxa"/>
          </w:tcPr>
          <w:p w:rsidR="009F6B99" w:rsidRDefault="009F6B99" w:rsidP="009F6B9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Гумене чизме</w:t>
            </w:r>
          </w:p>
        </w:tc>
        <w:tc>
          <w:tcPr>
            <w:tcW w:w="1559" w:type="dxa"/>
          </w:tcPr>
          <w:p w:rsidR="009F6B99" w:rsidRDefault="007137FB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 xml:space="preserve">............................................дана од дана пријема наруџбенице (не може бити дужи од </w:t>
      </w:r>
      <w:r w:rsidR="00EA68F2">
        <w:rPr>
          <w:rFonts w:ascii="Times New Roman" w:eastAsia="Times New Roman" w:hAnsi="Times New Roman"/>
          <w:iCs/>
        </w:rPr>
        <w:t>5</w:t>
      </w:r>
      <w:r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lastRenderedPageBreak/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CAC"/>
    <w:multiLevelType w:val="hybridMultilevel"/>
    <w:tmpl w:val="1FBE032C"/>
    <w:lvl w:ilvl="0" w:tplc="B02E68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E36"/>
    <w:multiLevelType w:val="hybridMultilevel"/>
    <w:tmpl w:val="459856B0"/>
    <w:lvl w:ilvl="0" w:tplc="32C2C0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5DD7"/>
    <w:multiLevelType w:val="hybridMultilevel"/>
    <w:tmpl w:val="882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D280E"/>
    <w:rsid w:val="0027176F"/>
    <w:rsid w:val="002C4E15"/>
    <w:rsid w:val="00305074"/>
    <w:rsid w:val="00316EF8"/>
    <w:rsid w:val="00362938"/>
    <w:rsid w:val="0038447B"/>
    <w:rsid w:val="00425000"/>
    <w:rsid w:val="00437946"/>
    <w:rsid w:val="00453D92"/>
    <w:rsid w:val="004814F9"/>
    <w:rsid w:val="004A0911"/>
    <w:rsid w:val="00522AB0"/>
    <w:rsid w:val="005454B0"/>
    <w:rsid w:val="005A0348"/>
    <w:rsid w:val="005D7BAD"/>
    <w:rsid w:val="00643944"/>
    <w:rsid w:val="00666C09"/>
    <w:rsid w:val="007137FB"/>
    <w:rsid w:val="008635E5"/>
    <w:rsid w:val="00885AC6"/>
    <w:rsid w:val="008D1867"/>
    <w:rsid w:val="00981545"/>
    <w:rsid w:val="00985623"/>
    <w:rsid w:val="009F39F7"/>
    <w:rsid w:val="009F6B99"/>
    <w:rsid w:val="00A25D8B"/>
    <w:rsid w:val="00A4562B"/>
    <w:rsid w:val="00AA0715"/>
    <w:rsid w:val="00AE113C"/>
    <w:rsid w:val="00B85803"/>
    <w:rsid w:val="00BC761A"/>
    <w:rsid w:val="00D172D2"/>
    <w:rsid w:val="00D41945"/>
    <w:rsid w:val="00DD7CD4"/>
    <w:rsid w:val="00E17FA3"/>
    <w:rsid w:val="00EA68F2"/>
    <w:rsid w:val="00F473B9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27F7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Andrea Djukin</cp:lastModifiedBy>
  <cp:revision>12</cp:revision>
  <cp:lastPrinted>2021-04-29T07:58:00Z</cp:lastPrinted>
  <dcterms:created xsi:type="dcterms:W3CDTF">2021-11-10T13:20:00Z</dcterms:created>
  <dcterms:modified xsi:type="dcterms:W3CDTF">2021-11-15T09:47:00Z</dcterms:modified>
</cp:coreProperties>
</file>