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B5" w:rsidRDefault="00EE66E8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2261B5" w:rsidRDefault="00EE66E8">
      <w:pPr>
        <w:spacing w:after="150"/>
        <w:jc w:val="center"/>
      </w:pPr>
      <w:r>
        <w:rPr>
          <w:b/>
          <w:color w:val="000000"/>
        </w:rPr>
        <w:t>2951</w:t>
      </w:r>
    </w:p>
    <w:p w:rsidR="002261B5" w:rsidRDefault="00EE66E8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19.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спољнотрговинском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36/09, 36/11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88/11 и 89/15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2261B5" w:rsidRDefault="00EE66E8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2261B5" w:rsidRDefault="00EE66E8">
      <w:pPr>
        <w:spacing w:after="225"/>
        <w:jc w:val="center"/>
      </w:pPr>
      <w:r>
        <w:rPr>
          <w:b/>
          <w:color w:val="000000"/>
        </w:rPr>
        <w:t>ОДЛУКУ</w:t>
      </w:r>
    </w:p>
    <w:p w:rsidR="002261B5" w:rsidRDefault="00EE66E8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привременом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ограничењу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одређених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сортимената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битне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Србију</w:t>
      </w:r>
      <w:proofErr w:type="spellEnd"/>
    </w:p>
    <w:p w:rsidR="002261B5" w:rsidRDefault="00EE66E8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Уводи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сортимената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пореклом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несташице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ублажавања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несташице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>.</w:t>
      </w:r>
    </w:p>
    <w:p w:rsidR="002261B5" w:rsidRDefault="00EE66E8">
      <w:pPr>
        <w:spacing w:after="150"/>
      </w:pPr>
      <w:proofErr w:type="spellStart"/>
      <w:r>
        <w:rPr>
          <w:color w:val="000000"/>
        </w:rPr>
        <w:t>Ограничење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сортименте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 (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16"/>
        <w:gridCol w:w="5350"/>
        <w:gridCol w:w="1626"/>
      </w:tblGrid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Тарифна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ознака</w:t>
            </w:r>
            <w:proofErr w:type="spellEnd"/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Наименовање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Количине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групи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6 (</w:t>
            </w:r>
            <w:proofErr w:type="spellStart"/>
            <w:r>
              <w:rPr>
                <w:color w:val="000000"/>
              </w:rPr>
              <w:t>шест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месеци</w:t>
            </w:r>
            <w:proofErr w:type="spellEnd"/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4403 21 10 0</w:t>
            </w:r>
            <w:r>
              <w:rPr>
                <w:color w:val="000000"/>
              </w:rPr>
              <w:t>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четинара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Pinus</w:t>
            </w:r>
            <w:proofErr w:type="spellEnd"/>
            <w:r>
              <w:rPr>
                <w:i/>
                <w:color w:val="000000"/>
              </w:rPr>
              <w:t xml:space="preserve"> spp.</w:t>
            </w: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најмања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димензија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попречног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15 cm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резани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трупци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4403 21 90 00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четинара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Pinus</w:t>
            </w:r>
            <w:proofErr w:type="spellEnd"/>
            <w:r>
              <w:rPr>
                <w:i/>
                <w:color w:val="000000"/>
              </w:rPr>
              <w:t xml:space="preserve"> spp</w:t>
            </w:r>
            <w:r>
              <w:rPr>
                <w:color w:val="000000"/>
              </w:rPr>
              <w:t xml:space="preserve">.)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најмања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димензија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попречног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15 cm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138 m³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4403 22 00 00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четинара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Pinus</w:t>
            </w:r>
            <w:proofErr w:type="spellEnd"/>
            <w:r>
              <w:rPr>
                <w:i/>
                <w:color w:val="000000"/>
              </w:rPr>
              <w:t xml:space="preserve"> spp</w:t>
            </w:r>
            <w:r>
              <w:rPr>
                <w:color w:val="000000"/>
              </w:rPr>
              <w:t xml:space="preserve">.),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lastRenderedPageBreak/>
              <w:t>121 m³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4403 23 10 00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четинара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јеле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Аbies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spp</w:t>
            </w:r>
            <w:r>
              <w:rPr>
                <w:color w:val="000000"/>
              </w:rPr>
              <w:t xml:space="preserve">.) и </w:t>
            </w:r>
            <w:proofErr w:type="spellStart"/>
            <w:r>
              <w:rPr>
                <w:color w:val="000000"/>
              </w:rPr>
              <w:t>смреке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Picea</w:t>
            </w:r>
            <w:proofErr w:type="spellEnd"/>
            <w:r>
              <w:rPr>
                <w:i/>
                <w:color w:val="000000"/>
              </w:rPr>
              <w:t xml:space="preserve"> spp</w:t>
            </w:r>
            <w:r>
              <w:rPr>
                <w:color w:val="000000"/>
              </w:rPr>
              <w:t xml:space="preserve">.),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најмања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димензија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попречног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15 cm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резани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трупци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25 m³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4403 23 90 00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четинара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јеле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Аbies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spp</w:t>
            </w:r>
            <w:r>
              <w:rPr>
                <w:color w:val="000000"/>
              </w:rPr>
              <w:t xml:space="preserve">.) и </w:t>
            </w:r>
            <w:proofErr w:type="spellStart"/>
            <w:r>
              <w:rPr>
                <w:color w:val="000000"/>
              </w:rPr>
              <w:t>смреке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Picea</w:t>
            </w:r>
            <w:proofErr w:type="spellEnd"/>
            <w:r>
              <w:rPr>
                <w:i/>
                <w:color w:val="000000"/>
              </w:rPr>
              <w:t xml:space="preserve"> spp</w:t>
            </w:r>
            <w:r>
              <w:rPr>
                <w:color w:val="000000"/>
              </w:rPr>
              <w:t xml:space="preserve">.),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најмања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димензија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попречног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15 cm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остал</w:t>
            </w:r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4403 24 00 00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четинара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јеле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Аbies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spp</w:t>
            </w:r>
            <w:r>
              <w:rPr>
                <w:color w:val="000000"/>
              </w:rPr>
              <w:t xml:space="preserve">.) и </w:t>
            </w:r>
            <w:proofErr w:type="spellStart"/>
            <w:r>
              <w:rPr>
                <w:color w:val="000000"/>
              </w:rPr>
              <w:t>смреке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Picea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spp</w:t>
            </w:r>
            <w:r>
              <w:rPr>
                <w:color w:val="000000"/>
              </w:rPr>
              <w:t xml:space="preserve">.),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927 m³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4403 25 10 00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четинара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најмања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димензија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попречног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15 cm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резани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трупци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185 m³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4403 26 00 00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четинара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4403 91 00 00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храста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Quercus</w:t>
            </w:r>
            <w:proofErr w:type="spellEnd"/>
            <w:r>
              <w:rPr>
                <w:i/>
                <w:color w:val="000000"/>
              </w:rPr>
              <w:t xml:space="preserve"> spp</w:t>
            </w:r>
            <w:r>
              <w:rPr>
                <w:color w:val="000000"/>
              </w:rPr>
              <w:t>.)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14923 m³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4403 93 00 00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букве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Fagus spp</w:t>
            </w:r>
            <w:r>
              <w:rPr>
                <w:color w:val="000000"/>
              </w:rPr>
              <w:t xml:space="preserve">.),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најмања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димензија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попречног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15 cm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927 m³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4403 94 00 00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букве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Fagus spp</w:t>
            </w:r>
            <w:r>
              <w:rPr>
                <w:color w:val="000000"/>
              </w:rPr>
              <w:t xml:space="preserve">.),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322 m³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4403 95 10 00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брезе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Betula</w:t>
            </w:r>
            <w:proofErr w:type="spellEnd"/>
            <w:r>
              <w:rPr>
                <w:color w:val="000000"/>
              </w:rPr>
              <w:t xml:space="preserve"> spp.),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најмања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димензија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попречног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15 cm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резани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трупци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4403 95 90 00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</w:t>
            </w:r>
            <w:r>
              <w:rPr>
                <w:color w:val="000000"/>
              </w:rPr>
              <w:t>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брезе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Betula</w:t>
            </w:r>
            <w:proofErr w:type="spellEnd"/>
            <w:r>
              <w:rPr>
                <w:color w:val="000000"/>
              </w:rPr>
              <w:t xml:space="preserve"> spp.),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најмања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димензија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попречног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15 cm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4403 96 00 00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брезе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Betula</w:t>
            </w:r>
            <w:proofErr w:type="spellEnd"/>
            <w:r>
              <w:rPr>
                <w:i/>
                <w:color w:val="000000"/>
              </w:rPr>
              <w:t xml:space="preserve"> spp</w:t>
            </w:r>
            <w:r>
              <w:rPr>
                <w:color w:val="000000"/>
              </w:rPr>
              <w:t xml:space="preserve">.),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129 m³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4403 97 00 00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тополе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јасике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Populus</w:t>
            </w:r>
            <w:proofErr w:type="spellEnd"/>
            <w:r>
              <w:rPr>
                <w:i/>
                <w:color w:val="000000"/>
              </w:rPr>
              <w:t xml:space="preserve"> spp</w:t>
            </w:r>
            <w:r>
              <w:rPr>
                <w:color w:val="000000"/>
              </w:rPr>
              <w:t>.)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515 m³</w:t>
            </w:r>
          </w:p>
        </w:tc>
      </w:tr>
      <w:tr w:rsidR="002261B5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4403 99 00 00</w:t>
            </w:r>
          </w:p>
        </w:tc>
        <w:tc>
          <w:tcPr>
            <w:tcW w:w="9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proofErr w:type="spellStart"/>
            <w:r>
              <w:rPr>
                <w:color w:val="000000"/>
              </w:rPr>
              <w:t>Необрађено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бељике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учетворено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B5" w:rsidRDefault="00EE66E8">
            <w:pPr>
              <w:spacing w:after="150"/>
            </w:pPr>
            <w:r>
              <w:rPr>
                <w:color w:val="000000"/>
              </w:rPr>
              <w:t>10485 m³</w:t>
            </w:r>
          </w:p>
        </w:tc>
      </w:tr>
    </w:tbl>
    <w:p w:rsidR="002261B5" w:rsidRDefault="00EE66E8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сортименте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извозна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декларација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2261B5" w:rsidRDefault="00EE66E8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</w:t>
      </w:r>
      <w:r>
        <w:rPr>
          <w:color w:val="000000"/>
        </w:rPr>
        <w:t>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</w:rPr>
        <w:t>рговине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>.</w:t>
      </w:r>
    </w:p>
    <w:p w:rsidR="002261B5" w:rsidRDefault="00EE66E8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пропорционални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</w:t>
      </w:r>
      <w:proofErr w:type="spellEnd"/>
      <w:r>
        <w:rPr>
          <w:color w:val="000000"/>
        </w:rPr>
        <w:t xml:space="preserve">”,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</w:t>
      </w:r>
      <w:r>
        <w:rPr>
          <w:color w:val="000000"/>
        </w:rPr>
        <w:t>ложивих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количина</w:t>
      </w:r>
      <w:proofErr w:type="spellEnd"/>
      <w:r>
        <w:rPr>
          <w:color w:val="000000"/>
        </w:rPr>
        <w:t>.</w:t>
      </w:r>
    </w:p>
    <w:p w:rsidR="002261B5" w:rsidRDefault="00EE66E8">
      <w:pPr>
        <w:spacing w:after="150"/>
      </w:pP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 (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>.</w:t>
      </w:r>
    </w:p>
    <w:p w:rsidR="002261B5" w:rsidRDefault="00EE66E8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издатим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дозволама</w:t>
      </w:r>
      <w:proofErr w:type="spellEnd"/>
      <w:r>
        <w:rPr>
          <w:color w:val="000000"/>
        </w:rPr>
        <w:t>.</w:t>
      </w:r>
    </w:p>
    <w:p w:rsidR="002261B5" w:rsidRDefault="00EE66E8">
      <w:pPr>
        <w:spacing w:after="150"/>
      </w:pPr>
      <w:proofErr w:type="spellStart"/>
      <w:r>
        <w:rPr>
          <w:color w:val="000000"/>
        </w:rPr>
        <w:t>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</w:t>
      </w:r>
      <w:r>
        <w:rPr>
          <w:color w:val="000000"/>
        </w:rPr>
        <w:t>мисију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реализацији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нереализовани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расподелу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прерасподелу</w:t>
      </w:r>
      <w:proofErr w:type="spellEnd"/>
      <w:r>
        <w:rPr>
          <w:color w:val="000000"/>
        </w:rPr>
        <w:t>).</w:t>
      </w:r>
    </w:p>
    <w:p w:rsidR="002261B5" w:rsidRDefault="00EE66E8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</w:t>
      </w:r>
      <w:r>
        <w:rPr>
          <w:color w:val="000000"/>
        </w:rPr>
        <w:t>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сортимената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извоз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>:</w:t>
      </w:r>
    </w:p>
    <w:p w:rsidR="002261B5" w:rsidRDefault="00EE66E8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податке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извознику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, ПИБ, МБ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.),</w:t>
      </w:r>
    </w:p>
    <w:p w:rsidR="002261B5" w:rsidRDefault="00EE66E8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податке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роби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врста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тарифна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сортимента</w:t>
      </w:r>
      <w:proofErr w:type="spellEnd"/>
      <w:r>
        <w:rPr>
          <w:color w:val="000000"/>
        </w:rPr>
        <w:t>),</w:t>
      </w:r>
    </w:p>
    <w:p w:rsidR="002261B5" w:rsidRDefault="00EE66E8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захтеване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сортимената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тарифним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ознакама</w:t>
      </w:r>
      <w:proofErr w:type="spellEnd"/>
      <w:r>
        <w:rPr>
          <w:color w:val="000000"/>
        </w:rPr>
        <w:t>.</w:t>
      </w:r>
    </w:p>
    <w:p w:rsidR="002261B5" w:rsidRDefault="00EE66E8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пореклу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), а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</w:t>
      </w:r>
      <w:r>
        <w:rPr>
          <w:color w:val="000000"/>
        </w:rPr>
        <w:t>та</w:t>
      </w:r>
      <w:proofErr w:type="spellEnd"/>
      <w:r>
        <w:rPr>
          <w:color w:val="000000"/>
        </w:rPr>
        <w:t>.</w:t>
      </w:r>
    </w:p>
    <w:p w:rsidR="002261B5" w:rsidRDefault="00EE66E8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</w:t>
      </w:r>
      <w:proofErr w:type="spell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15.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реализованим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2261B5" w:rsidRDefault="00EE66E8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2261B5" w:rsidRDefault="00EE66E8">
      <w:pPr>
        <w:spacing w:after="150"/>
        <w:jc w:val="right"/>
      </w:pPr>
      <w:r>
        <w:rPr>
          <w:color w:val="000000"/>
        </w:rPr>
        <w:t>05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335-6263/2022</w:t>
      </w:r>
    </w:p>
    <w:p w:rsidR="002261B5" w:rsidRDefault="00EE66E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4.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261B5" w:rsidRDefault="00EE66E8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2261B5" w:rsidRDefault="00EE66E8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2261B5" w:rsidRDefault="00EE66E8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2261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B5"/>
    <w:rsid w:val="002261B5"/>
    <w:rsid w:val="00E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92350-02F8-4DBD-83C5-383EC1AE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ljiljana.sovilj</dc:creator>
  <cp:lastModifiedBy>Ljiljana Sovilj</cp:lastModifiedBy>
  <cp:revision>2</cp:revision>
  <dcterms:created xsi:type="dcterms:W3CDTF">2022-08-05T06:40:00Z</dcterms:created>
  <dcterms:modified xsi:type="dcterms:W3CDTF">2022-08-05T06:40:00Z</dcterms:modified>
</cp:coreProperties>
</file>