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1"/>
        <w:tblOverlap w:val="never"/>
        <w:tblW w:w="13036" w:type="dxa"/>
        <w:tblLook w:val="04A0" w:firstRow="1" w:lastRow="0" w:firstColumn="1" w:lastColumn="0" w:noHBand="0" w:noVBand="1"/>
      </w:tblPr>
      <w:tblGrid>
        <w:gridCol w:w="13036"/>
      </w:tblGrid>
      <w:tr w:rsidR="009F2DFE" w:rsidRPr="002C4B03" w:rsidTr="009E6744">
        <w:trPr>
          <w:trHeight w:val="1833"/>
        </w:trPr>
        <w:tc>
          <w:tcPr>
            <w:tcW w:w="13036" w:type="dxa"/>
            <w:hideMark/>
          </w:tcPr>
          <w:p w:rsidR="009F2DFE" w:rsidRPr="00A55FD4" w:rsidRDefault="009F2DFE" w:rsidP="009E674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0" w:name="_GoBack"/>
            <w:bookmarkEnd w:id="0"/>
          </w:p>
          <w:p w:rsidR="009F2DFE" w:rsidRPr="002C4B03" w:rsidRDefault="009F2DFE" w:rsidP="009E6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C4B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ГОДИШЊИ ИЗВ</w:t>
            </w:r>
            <w:r w:rsidR="00803184" w:rsidRPr="002C4B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Е</w:t>
            </w:r>
            <w:r w:rsidRPr="002C4B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ШТАЈ О РАДУ </w:t>
            </w:r>
            <w:r w:rsidR="007E56F0" w:rsidRPr="00746B6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ПОКРАЈИНСКЕ </w:t>
            </w:r>
            <w:r w:rsidRPr="002C4B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ШУ</w:t>
            </w:r>
            <w:r w:rsidR="00A55FD4" w:rsidRPr="002C4B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</w:t>
            </w:r>
            <w:r w:rsidR="009E6D6B" w:rsidRPr="002C4B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АРСКЕ И ЛОВНЕ ИНСПЕКЦИЈЕ ЗА 202</w:t>
            </w:r>
            <w:r w:rsidR="006A040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  <w:r w:rsidRPr="002C4B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ГОДИНУ</w:t>
            </w:r>
          </w:p>
          <w:p w:rsidR="001B3E90" w:rsidRPr="002C4B03" w:rsidRDefault="001B3E90" w:rsidP="009E6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8E0F28" w:rsidRPr="002C4B03" w:rsidRDefault="00475033" w:rsidP="009E6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C4B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1)</w:t>
            </w:r>
            <w:r w:rsidR="006F6D72" w:rsidRPr="002C4B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</w:t>
            </w:r>
            <w:r w:rsidR="008E0F28" w:rsidRPr="002C4B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Превентивно деловање инспекције</w:t>
            </w:r>
          </w:p>
          <w:p w:rsidR="001B3E90" w:rsidRPr="002C4B03" w:rsidRDefault="001B3E90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F2A6E" w:rsidRPr="002C4B03" w:rsidRDefault="009F2DFE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Број спречених или битно умањених вероватних настанака штетних последица по законом заштићена добра, права и интересе </w:t>
            </w:r>
            <w:r w:rsidR="008E0F28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огледа се кроз превентивно деловање инспекције. </w:t>
            </w:r>
            <w:r w:rsidR="009709F2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Покрајинска ш</w:t>
            </w:r>
            <w:r w:rsidR="009A4C52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</w:t>
            </w:r>
            <w:r w:rsidR="008377D1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марска</w:t>
            </w:r>
            <w:r w:rsidR="00FE6F5B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2A57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ловна инспекција је током 2025</w:t>
            </w:r>
            <w:r w:rsidR="008377D1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 године у поступку вршења инспекцијских надзора, као и по захтевима надзираних субјеката редовно, благовремено и детаљно информисала надзиране субјекте везано за примену одредби закона из области шумарства и ловства и подзаконских аката и у случају ненадлежности упућивала надзиране субјекте на надлежне органе.</w:t>
            </w:r>
            <w:r w:rsidR="00001A18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8377D1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складу са Законом о инспекцијском надзору, а ради постизања циља инспекцијског надзора, у</w:t>
            </w:r>
            <w:r w:rsidR="008E0F28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току 2</w:t>
            </w:r>
            <w:r w:rsidR="006A040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025</w:t>
            </w:r>
            <w:r w:rsidR="00A3261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="00A55FD4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8E0F28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године шумарска и ловна инспекција извршила је </w:t>
            </w:r>
            <w:r w:rsidR="00E9555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131</w:t>
            </w:r>
            <w:r w:rsidR="00C24527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8E0F28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службен</w:t>
            </w:r>
            <w:r w:rsidR="00222D28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="008E0F28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саветодавн</w:t>
            </w:r>
            <w:r w:rsidR="00222D28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="008E0F28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посет</w:t>
            </w:r>
            <w:r w:rsidR="00222D28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="00FE6F5B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донела укупно </w:t>
            </w:r>
            <w:r w:rsidR="00857CD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FE6F5B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D591A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C13059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8E0F28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решењ</w:t>
            </w:r>
            <w:r w:rsidR="00F91FFE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590949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допис</w:t>
            </w:r>
            <w:r w:rsidR="00353F77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590949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са </w:t>
            </w:r>
            <w:r w:rsidR="00DF2A6E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препорука</w:t>
            </w:r>
            <w:r w:rsidR="00590949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</w:t>
            </w:r>
            <w:r w:rsidR="008E0F28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отклањање уочених неправилности</w:t>
            </w:r>
            <w:r w:rsidR="009709F2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  <w:p w:rsidR="009F2DFE" w:rsidRPr="002C4B03" w:rsidRDefault="00DF2A6E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Оваквим радом шумарска и ловна инспекција је </w:t>
            </w:r>
            <w:r w:rsidR="001B3E90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деловала превентивно пружајући стручну и саветодавну подршку надзираним субјектима</w:t>
            </w:r>
            <w:r w:rsidR="009F2DFE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уважавајући права </w:t>
            </w:r>
            <w:r w:rsidR="00353F77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интересе надзираних субјеката.</w:t>
            </w:r>
          </w:p>
          <w:p w:rsidR="001B3E90" w:rsidRPr="002C4B03" w:rsidRDefault="001B3E90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F2DFE" w:rsidRPr="002C4B03" w:rsidTr="009E6744">
        <w:trPr>
          <w:trHeight w:val="2681"/>
        </w:trPr>
        <w:tc>
          <w:tcPr>
            <w:tcW w:w="13036" w:type="dxa"/>
            <w:hideMark/>
          </w:tcPr>
          <w:p w:rsidR="001B3E90" w:rsidRPr="002C4B03" w:rsidRDefault="006F6D72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4B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2)</w:t>
            </w:r>
            <w:r w:rsidR="009F2DFE" w:rsidRPr="002C4B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-Обавештавањ</w:t>
            </w:r>
            <w:r w:rsidR="009F2DFE" w:rsidRPr="00746B66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9F2DFE" w:rsidRPr="002C4B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јавности, пружањ</w:t>
            </w:r>
            <w:r w:rsidR="009F2DFE" w:rsidRPr="00746B66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9F2DFE" w:rsidRPr="002C4B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стручне и саветодавне подршке надзираним субјектима или лицима која остварују одређена права у надзираним субјектима или у вези са надзираним субјектима</w:t>
            </w:r>
          </w:p>
          <w:p w:rsidR="00AA0972" w:rsidRPr="002C4B03" w:rsidRDefault="00AA0972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F2DFE" w:rsidRPr="002C4B03" w:rsidRDefault="00AA0972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Обавештавањ</w:t>
            </w:r>
            <w:r w:rsidRPr="00746B6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јавности, пружањ</w:t>
            </w:r>
            <w:r w:rsidRPr="00746B6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стручне и саветодавне подршке надзираним субјектима или лицима која остварују одређена права у надзираним субјектима или у вези са надзираним субјектима,</w:t>
            </w:r>
            <w:r w:rsidR="00001A18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9F2DFE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укључујући издавање аката о примени прописа и службене саветодавне посете, превентивним инспекцијским надзорима и другим активностима усмереним ка подстицању и подржавању законитости и безбедности пословања и поступања и спречавању настанка штетних последица по законом и другим прописом заштићена добра, права и интересе, са подацима о броју и облицима ових активности и кругу лица обухваћених тим активностима (превентивно деловање инспекције), је реализован кроз стручне саветодавне посете којих је било </w:t>
            </w:r>
            <w:r w:rsidR="00C24527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2</w:t>
            </w:r>
            <w:r w:rsidR="00857CD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0.3</w:t>
            </w:r>
            <w:r w:rsidR="009F2DFE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% од укупног броја контрола</w:t>
            </w:r>
            <w:r w:rsidR="009709F2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(Прилог 1</w:t>
            </w:r>
            <w:r w:rsidR="009D7F2A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  <w:r w:rsidR="009F2DFE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. Облици ових активности манифестовали су се кроз превентивни инспекцијски надзор, сарадњом инспекције са другим органима и израдом одговарајућих инструкција о поступању у складу са прописима (инструкције су доступне на сајту Управе за шуме). </w:t>
            </w:r>
          </w:p>
          <w:p w:rsidR="00E94CD5" w:rsidRPr="00746B66" w:rsidRDefault="00E94CD5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AA0972" w:rsidRPr="002C4B03" w:rsidRDefault="00AA0972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F2DFE" w:rsidRPr="002C4B03" w:rsidTr="009709F2">
        <w:trPr>
          <w:trHeight w:val="132"/>
        </w:trPr>
        <w:tc>
          <w:tcPr>
            <w:tcW w:w="13036" w:type="dxa"/>
            <w:hideMark/>
          </w:tcPr>
          <w:p w:rsidR="00A61DED" w:rsidRPr="002C4B03" w:rsidRDefault="006F6D72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4B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3)</w:t>
            </w:r>
            <w:r w:rsidR="009F2DFE" w:rsidRPr="002C4B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-Ниво усклађености пословања и поступања надзираних субјеката са законом и другим прописом, који се мери помоћу контролних листи</w:t>
            </w:r>
          </w:p>
          <w:p w:rsidR="00A61DED" w:rsidRPr="002C4B03" w:rsidRDefault="00A61DED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D7F2A" w:rsidRPr="002C4B03" w:rsidRDefault="00A61DED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Шумарска и ловна инспекција у складу са Законом о инспекцијском надзору контролне листе корис</w:t>
            </w:r>
            <w:r w:rsidR="00F973B5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</w:t>
            </w:r>
            <w:r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кад врши редовне надзоре</w:t>
            </w:r>
            <w:r w:rsidR="00430709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 У 202</w:t>
            </w:r>
            <w:r w:rsidR="00857CD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A3261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години  укупо су извршена </w:t>
            </w:r>
            <w:r w:rsidR="00857CD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117</w:t>
            </w:r>
            <w:r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редовна инспекцијска надзора</w:t>
            </w:r>
            <w:r w:rsidR="009A4C52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001A18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857CD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393</w:t>
            </w:r>
            <w:r w:rsidR="00C24527" w:rsidRPr="00746B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496979" w:rsidRPr="00746B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ванредних и</w:t>
            </w:r>
            <w:r w:rsidR="00B04D08" w:rsidRPr="00746B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нспекцијских надзора, </w:t>
            </w:r>
            <w:r w:rsidR="009D7F2A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(Прилог </w:t>
            </w:r>
            <w:r w:rsidR="009709F2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A33A09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.).</w:t>
            </w:r>
            <w:r w:rsidR="00001A18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8F69FC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Редовни инспекцијски надзори вршени су према контролним листама за одређене области надзора, које су</w:t>
            </w:r>
            <w:r w:rsidR="00FD591A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објављене на сајту Покрајинског секретаријата за пољопривреду,водопривреду и шумарство</w:t>
            </w:r>
            <w:r w:rsidR="008F69FC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по потреби се ажурирају.</w:t>
            </w:r>
          </w:p>
          <w:p w:rsidR="00F973B5" w:rsidRPr="00377DAB" w:rsidRDefault="009D7F2A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Највећи број редовних контрола по Закону о шумама</w:t>
            </w:r>
            <w:r w:rsidR="00001A18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251787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="00001A18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</w:t>
            </w:r>
            <w:r w:rsidR="008F69FC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вршен је</w:t>
            </w:r>
            <w:r w:rsidR="00251787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по контролним листама:</w:t>
            </w:r>
            <w:r w:rsidR="00377DA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:rsidR="0062448F" w:rsidRPr="002C4B03" w:rsidRDefault="0062448F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F973B5" w:rsidRPr="002C4B03" w:rsidRDefault="00F973B5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- Гајење шума КЛ-005-0</w:t>
            </w:r>
            <w:r w:rsidR="00C6558E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/0</w:t>
            </w:r>
            <w:r w:rsidR="00C6558E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</w:t>
            </w:r>
          </w:p>
          <w:p w:rsidR="00F973B5" w:rsidRPr="002C4B03" w:rsidRDefault="00F973B5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Коришћење шума КЛ-006-0</w:t>
            </w:r>
            <w:r w:rsidR="00C6558E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/0</w:t>
            </w:r>
            <w:r w:rsidR="00C6558E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  <w:p w:rsidR="00F47912" w:rsidRPr="002C4B03" w:rsidRDefault="00377DAB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Ванредни инспекцијски надзори су извршени на основу представки као и захтева за ванредни инспекцијски надзор у складу са Законом о инспекцијском надзору.</w:t>
            </w:r>
          </w:p>
          <w:p w:rsidR="009F2DFE" w:rsidRPr="002C4B03" w:rsidRDefault="009F2DFE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F2DFE" w:rsidRPr="002C4B03" w:rsidTr="009E6744">
        <w:trPr>
          <w:trHeight w:val="960"/>
        </w:trPr>
        <w:tc>
          <w:tcPr>
            <w:tcW w:w="13036" w:type="dxa"/>
            <w:hideMark/>
          </w:tcPr>
          <w:p w:rsidR="00F47912" w:rsidRPr="002C4B03" w:rsidRDefault="006F6D72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4B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4)</w:t>
            </w:r>
            <w:r w:rsidR="009F2DFE" w:rsidRPr="002C4B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</w:t>
            </w:r>
            <w:r w:rsidR="00F47912" w:rsidRPr="002C4B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Корективно деловање инспекције</w:t>
            </w:r>
          </w:p>
          <w:p w:rsidR="00F47912" w:rsidRPr="002C4B03" w:rsidRDefault="00F47912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F2DFE" w:rsidRPr="002C4B03" w:rsidRDefault="00526BBC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 2025</w:t>
            </w:r>
            <w:r w:rsidR="009F2DFE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 години шумарска и лов</w:t>
            </w:r>
            <w:r w:rsidR="006F6784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</w:t>
            </w:r>
            <w:r w:rsidR="009F2DFE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инспекција донела је укупно </w:t>
            </w:r>
            <w:r w:rsidR="00857CD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="009F2DFE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решењ</w:t>
            </w:r>
            <w:r w:rsidR="009615CD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9F2DFE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857CD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 отклањању недостатака</w:t>
            </w:r>
            <w:r w:rsidR="009F2DFE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из Закона о шумама </w:t>
            </w:r>
            <w:r w:rsidR="00857CD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1 решење из Закона о дивљачи и ловству</w:t>
            </w:r>
          </w:p>
          <w:p w:rsidR="00811E3F" w:rsidRPr="002C4B03" w:rsidRDefault="00811E3F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Овакво поступање инспекције усмерено је у правцу спречавања или битног умањивања вероватног настанка штетних последица по законом заштићена природна добра, права и интересе.</w:t>
            </w:r>
          </w:p>
          <w:p w:rsidR="00811E3F" w:rsidRPr="002C4B03" w:rsidRDefault="00811E3F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F2DFE" w:rsidRPr="002C4B03" w:rsidTr="009E6744">
        <w:trPr>
          <w:trHeight w:val="645"/>
        </w:trPr>
        <w:tc>
          <w:tcPr>
            <w:tcW w:w="13036" w:type="dxa"/>
            <w:hideMark/>
          </w:tcPr>
          <w:p w:rsidR="00811E3F" w:rsidRPr="002C4B03" w:rsidRDefault="006F6D72" w:rsidP="009E6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C4B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5)</w:t>
            </w:r>
            <w:r w:rsidR="009F2DFE" w:rsidRPr="002C4B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-Број утврђених нерегистрованих субјеката и мер</w:t>
            </w:r>
            <w:r w:rsidR="009F2DFE" w:rsidRPr="00746B66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9F2DFE" w:rsidRPr="002C4B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спроведен</w:t>
            </w:r>
            <w:r w:rsidR="009F2DFE" w:rsidRPr="00746B66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9F2DFE" w:rsidRPr="002C4B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према њима</w:t>
            </w:r>
          </w:p>
          <w:p w:rsidR="00811E3F" w:rsidRPr="002C4B03" w:rsidRDefault="00811E3F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F2DFE" w:rsidRPr="002C4B03" w:rsidRDefault="006A040C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току 2025</w:t>
            </w:r>
            <w:r w:rsidR="00575606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. године </w:t>
            </w:r>
            <w:r w:rsidR="00526B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утврђен рад нерегистрованих субјеката.</w:t>
            </w:r>
          </w:p>
          <w:p w:rsidR="00811E3F" w:rsidRPr="002C4B03" w:rsidRDefault="00811E3F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F2DFE" w:rsidRPr="002C4B03" w:rsidTr="009E6744">
        <w:trPr>
          <w:trHeight w:val="619"/>
        </w:trPr>
        <w:tc>
          <w:tcPr>
            <w:tcW w:w="13036" w:type="dxa"/>
            <w:hideMark/>
          </w:tcPr>
          <w:p w:rsidR="0071407B" w:rsidRPr="002C4B03" w:rsidRDefault="00CF5676" w:rsidP="009E6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C4B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6)</w:t>
            </w:r>
            <w:r w:rsidR="009F2DFE" w:rsidRPr="002C4B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-Мер</w:t>
            </w:r>
            <w:r w:rsidR="009F2DFE" w:rsidRPr="00746B66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9F2DFE" w:rsidRPr="002C4B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предузет</w:t>
            </w:r>
            <w:r w:rsidR="009F2DFE" w:rsidRPr="00746B66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9F2DFE" w:rsidRPr="002C4B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ради уједначавања праксе инспекцијског надзора и њихово дејств</w:t>
            </w:r>
            <w:r w:rsidR="009F2DFE" w:rsidRPr="00746B66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  <w:p w:rsidR="0071407B" w:rsidRPr="002C4B03" w:rsidRDefault="0071407B" w:rsidP="009E6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877BB9" w:rsidRPr="002C4B03" w:rsidRDefault="008201B9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складу са Законом о инспекцијском надзору, у циљу уједначавања рада шумарских и ловних инспектора у редовним инспекцијским надзорима коришћене су контролне листе, које</w:t>
            </w:r>
            <w:r w:rsidR="00457377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се налазе на сајту Покрајинског секретаријата за пољопривреду,водопривреду и шумарство</w:t>
            </w:r>
            <w:r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доступне су свим субјектима за потребе самоконтроле.</w:t>
            </w:r>
            <w:r w:rsidR="00001A18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Контролне листе се два пута годишње преиспитују на састанцима </w:t>
            </w:r>
            <w:r w:rsidR="009414FE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 w:rsidR="00EF7277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дељења шумарске и ловне инспекције</w:t>
            </w:r>
            <w:r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. </w:t>
            </w:r>
          </w:p>
          <w:p w:rsidR="00877BB9" w:rsidRPr="002C4B03" w:rsidRDefault="00B04D08" w:rsidP="003D77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Редовно </w:t>
            </w:r>
            <w:r w:rsidR="009F2DFE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се одржавају састанци </w:t>
            </w:r>
            <w:r w:rsidR="009414FE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 w:rsidR="00EF7277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дељења шумарске и ловне инспекције</w:t>
            </w:r>
            <w:r w:rsidR="00877BB9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 </w:t>
            </w:r>
            <w:r w:rsidR="009F2DFE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који</w:t>
            </w:r>
            <w:r w:rsidR="00877BB9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 се</w:t>
            </w:r>
            <w:r w:rsidR="009F2DFE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уједначава рад инспектора на терену,</w:t>
            </w:r>
            <w:r w:rsidR="0069167A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што даје зад</w:t>
            </w:r>
            <w:r w:rsidR="009F2DFE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ов</w:t>
            </w:r>
            <w:r w:rsidR="0069167A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ољава</w:t>
            </w:r>
            <w:r w:rsidR="009F2DFE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јуће резултате.</w:t>
            </w:r>
          </w:p>
          <w:p w:rsidR="003D773E" w:rsidRPr="002C4B03" w:rsidRDefault="003D773E" w:rsidP="003D77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F2DFE" w:rsidRPr="002C4B03" w:rsidTr="009E6744">
        <w:trPr>
          <w:trHeight w:val="699"/>
        </w:trPr>
        <w:tc>
          <w:tcPr>
            <w:tcW w:w="13036" w:type="dxa"/>
            <w:hideMark/>
          </w:tcPr>
          <w:p w:rsidR="00877BB9" w:rsidRPr="002C4B03" w:rsidRDefault="0069167A" w:rsidP="009E6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C4B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7)</w:t>
            </w:r>
            <w:r w:rsidR="009F2DFE" w:rsidRPr="002C4B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-Остварењ</w:t>
            </w:r>
            <w:r w:rsidR="009F2DFE" w:rsidRPr="00746B66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9F2DFE" w:rsidRPr="002C4B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плана и ваљаности планирања инспекцијског надзора, нарочито о односу редовних и ванредних инспекцијских надзора, броју редовних инспекцијских надзора који нису извршени и разлозима за то, као и о броју допунских налога за инспекцијски надзор</w:t>
            </w:r>
          </w:p>
          <w:p w:rsidR="00877BB9" w:rsidRPr="002C4B03" w:rsidRDefault="00877BB9" w:rsidP="009E6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2E0E6B" w:rsidRPr="002C4B03" w:rsidRDefault="002E0E6B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складу са  обавезом</w:t>
            </w:r>
            <w:r w:rsidR="00001A18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прописаном у члану 10. Закона о инспекцијском надзору, сачињен је Годишњи план инспекцијског надзора шумарске и ловне инспекције</w:t>
            </w:r>
            <w:r w:rsidR="00130B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2025</w:t>
            </w:r>
            <w:r w:rsidR="00A3261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годину, који је одобрен од стране Координационе комисије Владе РС. </w:t>
            </w:r>
          </w:p>
          <w:p w:rsidR="002E0E6B" w:rsidRPr="002C4B03" w:rsidRDefault="002E0E6B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  <w:r w:rsidR="009F2DFE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лан инспекцијског надзора </w:t>
            </w:r>
            <w:r w:rsidR="002276C9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</w:t>
            </w:r>
            <w:r w:rsidR="00542A21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 </w:t>
            </w:r>
            <w:r w:rsidR="00130B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2025</w:t>
            </w:r>
            <w:r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. годину, </w:t>
            </w:r>
            <w:r w:rsidR="009F2DFE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 врстама инспекцијског надзора</w:t>
            </w:r>
            <w:r w:rsidR="009414FE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приказан је у П</w:t>
            </w:r>
            <w:r w:rsidR="00877DEE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рилогу 2</w:t>
            </w:r>
            <w:r w:rsidR="0069167A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="009F2DFE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а </w:t>
            </w:r>
            <w:r w:rsidR="0069167A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извршење по врстама инспек</w:t>
            </w:r>
            <w:r w:rsidR="009414FE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цијског надзора приказано је у П</w:t>
            </w:r>
            <w:r w:rsidR="00877DEE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рилогу 1</w:t>
            </w:r>
            <w:r w:rsidR="0069167A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. </w:t>
            </w:r>
          </w:p>
          <w:p w:rsidR="00575606" w:rsidRPr="002C4B03" w:rsidRDefault="009414FE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Укупно планир</w:t>
            </w:r>
            <w:r w:rsidR="00130B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ани број надзора у 2025</w:t>
            </w:r>
            <w:r w:rsidR="0069167A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. години био је </w:t>
            </w:r>
            <w:r w:rsidR="00130B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698</w:t>
            </w:r>
            <w:r w:rsidR="00DC4BEB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69167A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 извршено је укупно </w:t>
            </w:r>
            <w:r w:rsidR="00130B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645</w:t>
            </w:r>
            <w:r w:rsidR="00AB7ED5" w:rsidRPr="00746B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69167A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надз</w:t>
            </w:r>
            <w:r w:rsidR="006824DE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ор</w:t>
            </w:r>
            <w:r w:rsidR="003B4686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6824DE" w:rsidRPr="00746B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3B4686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односно </w:t>
            </w:r>
            <w:r w:rsidR="00130B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92 </w:t>
            </w:r>
            <w:r w:rsidR="0069167A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% од планираног.</w:t>
            </w:r>
            <w:r w:rsidR="004419AB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</w:t>
            </w:r>
          </w:p>
          <w:p w:rsidR="006824DE" w:rsidRPr="00746B66" w:rsidRDefault="006824DE" w:rsidP="009E674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sr-Cyrl-RS"/>
              </w:rPr>
            </w:pPr>
            <w:r w:rsidRPr="00746B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складу са Законом о инспекцијском надзору</w:t>
            </w:r>
            <w:r w:rsidR="00912C8A" w:rsidRPr="00746B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746B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шумарска </w:t>
            </w:r>
            <w:r w:rsidR="00130B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ловна инспекција је током 2025</w:t>
            </w:r>
            <w:r w:rsidR="00A3261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="001D0FAB" w:rsidRPr="00746B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године имала </w:t>
            </w:r>
            <w:r w:rsidR="00CF05C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знатно </w:t>
            </w:r>
            <w:r w:rsidR="001D0FAB" w:rsidRPr="00746B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већи</w:t>
            </w:r>
            <w:r w:rsidRPr="00746B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број</w:t>
            </w:r>
            <w:r w:rsidR="00912C8A" w:rsidRPr="00746B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ванредног инспекцијског надз</w:t>
            </w:r>
            <w:r w:rsidR="001D0FAB" w:rsidRPr="00746B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ора</w:t>
            </w:r>
            <w:r w:rsidR="00CF05C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од планираног </w:t>
            </w:r>
            <w:r w:rsidR="00957E2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1D0FAB" w:rsidRPr="00746B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227A22" w:rsidRPr="00746B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</w:t>
            </w:r>
            <w:r w:rsidR="001D0FAB" w:rsidRPr="00746B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то је последица већег броја </w:t>
            </w:r>
            <w:r w:rsidR="00227A22" w:rsidRPr="00746B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захтева надзираних субјеката као и представки упућених овој инспекцији.</w:t>
            </w:r>
          </w:p>
          <w:p w:rsidR="004419AB" w:rsidRPr="002C4B03" w:rsidRDefault="004419AB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04615" w:rsidRPr="002C4B03" w:rsidRDefault="00D04615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F2DFE" w:rsidRPr="002C4B03" w:rsidTr="009E6744">
        <w:trPr>
          <w:trHeight w:val="841"/>
        </w:trPr>
        <w:tc>
          <w:tcPr>
            <w:tcW w:w="13036" w:type="dxa"/>
            <w:hideMark/>
          </w:tcPr>
          <w:p w:rsidR="004C6D34" w:rsidRPr="002C4B03" w:rsidRDefault="00606DA0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4B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8)</w:t>
            </w:r>
            <w:r w:rsidR="009F2DFE" w:rsidRPr="002C4B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-Ниво координације инспекцијског надзора са инспекцијским надзором кога врше друге инспекције</w:t>
            </w:r>
            <w:r w:rsidR="009F2DFE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. </w:t>
            </w:r>
          </w:p>
          <w:p w:rsidR="004153D6" w:rsidRPr="002C4B03" w:rsidRDefault="004153D6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4153D6" w:rsidRPr="002C4B03" w:rsidRDefault="00853DE9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Најчешћа сарадња шумарске и ловне инспекције </w:t>
            </w:r>
            <w:r w:rsidR="00130B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току 2025</w:t>
            </w:r>
            <w:r w:rsidR="004153D6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. године, била је са Министарством унутрашњих послова и чуварима шума </w:t>
            </w:r>
            <w:r w:rsidR="001848DD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Јавних предузећа, </w:t>
            </w:r>
            <w:r w:rsidR="004153D6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код контрола </w:t>
            </w:r>
            <w:r w:rsidR="001848DD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сецишта и </w:t>
            </w:r>
            <w:r w:rsidR="004153D6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промета дрвета</w:t>
            </w:r>
            <w:r w:rsidR="00F71554" w:rsidRPr="00746B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као и ветеринаском инспекцијом због појаве Афричке куге свиња</w:t>
            </w:r>
            <w:r w:rsidR="00AB7ED5" w:rsidRPr="00746B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,као и птичијег грипа</w:t>
            </w:r>
            <w:r w:rsidR="00F71554" w:rsidRPr="00746B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поводом чега су се одржавале редовне акције као и састанци са корисницима ловишта.</w:t>
            </w:r>
            <w:r w:rsidR="004153D6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="00EF7277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Поред ове сарадње вршен</w:t>
            </w:r>
            <w:r w:rsidR="001848DD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 је </w:t>
            </w:r>
            <w:r w:rsidR="00EF7277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заједничк</w:t>
            </w:r>
            <w:r w:rsidR="001848DD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EF7277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акциј</w:t>
            </w:r>
            <w:r w:rsidR="001848DD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EF7277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контроле промета дрвета </w:t>
            </w:r>
            <w:r w:rsidR="00741939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складу </w:t>
            </w:r>
            <w:r w:rsidR="00EF7277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са </w:t>
            </w:r>
            <w:r w:rsidR="00741939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Акционим планом за спровођење националног програма за сузбијање си</w:t>
            </w:r>
            <w:r w:rsidR="00227A22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 економије</w:t>
            </w:r>
            <w:r w:rsidR="00227A22" w:rsidRPr="00746B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="00741939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  <w:p w:rsidR="009F2DFE" w:rsidRPr="002C4B03" w:rsidRDefault="009F2DFE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C09BC" w:rsidRPr="002C4B03" w:rsidTr="009E6744">
        <w:trPr>
          <w:trHeight w:val="1406"/>
        </w:trPr>
        <w:tc>
          <w:tcPr>
            <w:tcW w:w="13036" w:type="dxa"/>
            <w:hideMark/>
          </w:tcPr>
          <w:p w:rsidR="004153D6" w:rsidRPr="002C4B03" w:rsidRDefault="00606DA0" w:rsidP="009E6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C4B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9)</w:t>
            </w:r>
            <w:r w:rsidR="009F2DFE" w:rsidRPr="002C4B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-Материјални, технички и кадровски ресурси које је инспекција користила у вршењу инспекцијског надзора и мерама предузетим у циљу делотворне употребе ресурса инспекције и резултатима предузетих мера.</w:t>
            </w:r>
          </w:p>
          <w:p w:rsidR="000F4F38" w:rsidRPr="002C4B03" w:rsidRDefault="000F4F38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F2703" w:rsidRPr="00746B66" w:rsidRDefault="00EC09BC" w:rsidP="009E674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 w:rsidRPr="00746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За </w:t>
            </w:r>
            <w:r w:rsidR="006A6002" w:rsidRPr="002C4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реализацију годишњег плана инспекцијског надзора шумарским и ловним инспект</w:t>
            </w:r>
            <w:r w:rsidR="009414FE" w:rsidRPr="002C4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о</w:t>
            </w:r>
            <w:r w:rsidR="006A6002" w:rsidRPr="002C4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рима обезбеђена су службена возила</w:t>
            </w:r>
            <w:r w:rsidR="000F4F38" w:rsidRPr="002C4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и потребна количина горива за обављање инспекцијског надзора. </w:t>
            </w:r>
            <w:r w:rsidR="00F71554" w:rsidRPr="002C4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Техничка опремњеност инспектора није на задовољавајућем нивоу али се приступило обнови старих рачунара</w:t>
            </w:r>
            <w:r w:rsidR="00F71554" w:rsidRPr="00746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,</w:t>
            </w:r>
            <w:r w:rsidR="00F71554" w:rsidRPr="002C4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и набавци потребне опреме</w:t>
            </w:r>
          </w:p>
          <w:p w:rsidR="00FC166E" w:rsidRPr="00746B66" w:rsidRDefault="009F2DFE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Одељењу шумарске и ловне инспекције </w:t>
            </w:r>
            <w:r w:rsidR="00606DA0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 систе</w:t>
            </w:r>
            <w:r w:rsidR="00342F1E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матизацији предвиђен</w:t>
            </w:r>
            <w:r w:rsidR="00192B5E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 w:rsidR="00342F1E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192B5E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</w:t>
            </w:r>
            <w:r w:rsidR="00342F1E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130B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342F1E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рад</w:t>
            </w:r>
            <w:r w:rsidR="00606DA0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 w:rsidR="00192B5E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их</w:t>
            </w:r>
            <w:r w:rsidR="00606DA0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места</w:t>
            </w:r>
            <w:r w:rsidR="00032C52" w:rsidRPr="00746B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130B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(начелник инспекције и 6</w:t>
            </w:r>
            <w:r w:rsidR="00AD2FC6" w:rsidRPr="00746B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шумарско-ловних инспектора)</w:t>
            </w:r>
            <w:r w:rsidR="00606DA0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. </w:t>
            </w:r>
            <w:r w:rsidR="00130B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току 2025</w:t>
            </w:r>
            <w:r w:rsidR="00A3261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="00032C52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године</w:t>
            </w:r>
            <w:r w:rsidR="00DC4BE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није било пријеме нових инспектора</w:t>
            </w:r>
            <w:r w:rsidR="00A3261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="00DC4BEB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857CD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Тренутно је попуњено 6 радних места</w:t>
            </w:r>
            <w:r w:rsidR="00A3261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857CD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</w:t>
            </w:r>
            <w:r w:rsidR="00130B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5 инспектора и начелник инспекције</w:t>
            </w:r>
            <w:r w:rsidR="00857CD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  <w:r w:rsidR="00130B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  <w:p w:rsidR="001C5F66" w:rsidRPr="00746B66" w:rsidRDefault="009F2DFE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35332A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Систематизовани број инспектора је недовољан обзиром на укупну површину на којој се врши надзор и број субјеката</w:t>
            </w:r>
            <w:r w:rsidR="00522EE5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односно објеката</w:t>
            </w:r>
            <w:r w:rsidR="00F71554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надзора</w:t>
            </w:r>
            <w:r w:rsidR="00F71554" w:rsidRPr="00746B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 Имајући у виду да је на територији АПВ некада</w:t>
            </w:r>
            <w:r w:rsidR="001C52B7" w:rsidRPr="00746B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било запослено 16 инспектора, а приликом преноса надлежности  2010 године 11 инспектора</w:t>
            </w:r>
            <w:r w:rsidR="00AD2FC6" w:rsidRPr="00746B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1C52B7" w:rsidRPr="00746B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неопходно је повећати број истих.</w:t>
            </w:r>
          </w:p>
          <w:p w:rsidR="004419AB" w:rsidRPr="002C4B03" w:rsidRDefault="004419AB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F2DFE" w:rsidRPr="002C4B03" w:rsidTr="009E6744">
        <w:trPr>
          <w:trHeight w:val="419"/>
        </w:trPr>
        <w:tc>
          <w:tcPr>
            <w:tcW w:w="13036" w:type="dxa"/>
            <w:hideMark/>
          </w:tcPr>
          <w:p w:rsidR="004419AB" w:rsidRPr="002C4B03" w:rsidRDefault="00FB4BD8" w:rsidP="009E6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C4B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10)</w:t>
            </w:r>
            <w:r w:rsidR="009F2DFE" w:rsidRPr="002C4B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-Придржавање рокова прописаних за поступање инспекције</w:t>
            </w:r>
          </w:p>
          <w:p w:rsidR="004419AB" w:rsidRPr="002C4B03" w:rsidRDefault="004419AB" w:rsidP="009E6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9F2DFE" w:rsidRPr="002C4B03" w:rsidRDefault="009F2DFE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Инспекција се придржавала прописаних рокова.</w:t>
            </w:r>
          </w:p>
          <w:p w:rsidR="00A77E18" w:rsidRPr="002C4B03" w:rsidRDefault="00A77E18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F2DFE" w:rsidRPr="002C4B03" w:rsidTr="009E6744">
        <w:trPr>
          <w:trHeight w:val="960"/>
        </w:trPr>
        <w:tc>
          <w:tcPr>
            <w:tcW w:w="13036" w:type="dxa"/>
            <w:hideMark/>
          </w:tcPr>
          <w:p w:rsidR="005C7518" w:rsidRPr="002C4B03" w:rsidRDefault="00FB4BD8" w:rsidP="009E6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C4B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11)</w:t>
            </w:r>
            <w:r w:rsidR="009F2DFE" w:rsidRPr="002C4B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-Законитости управних аката донетих у инспекцијском надзору (број другостепених поступака, њихов исход, број покренутих управних спорова и њихов исход)</w:t>
            </w:r>
          </w:p>
          <w:p w:rsidR="00CE4F6F" w:rsidRPr="002C4B03" w:rsidRDefault="00CE4F6F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F2DFE" w:rsidRPr="002C4B03" w:rsidRDefault="009F2DFE" w:rsidP="009E67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C4B0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  <w:t xml:space="preserve"> </w:t>
            </w:r>
            <w:r w:rsidR="00130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У 2025</w:t>
            </w:r>
            <w:r w:rsidR="00A326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.</w:t>
            </w:r>
            <w:r w:rsidR="00130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години није било другостепених поступака</w:t>
            </w:r>
          </w:p>
          <w:p w:rsidR="00CE4F6F" w:rsidRPr="002C4B03" w:rsidRDefault="00CE4F6F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F2DFE" w:rsidRPr="002C4B03" w:rsidTr="009E6744">
        <w:trPr>
          <w:trHeight w:val="960"/>
        </w:trPr>
        <w:tc>
          <w:tcPr>
            <w:tcW w:w="13036" w:type="dxa"/>
            <w:hideMark/>
          </w:tcPr>
          <w:p w:rsidR="005C7518" w:rsidRPr="002C4B03" w:rsidRDefault="00FB4BD8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4B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12)</w:t>
            </w:r>
            <w:r w:rsidR="009F2DFE" w:rsidRPr="002C4B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-Поступањ</w:t>
            </w:r>
            <w:r w:rsidR="009F2DFE" w:rsidRPr="00746B66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9F2DFE" w:rsidRPr="002C4B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у решавању притужби на рад инспекције, са исходима тог поступања, уз посебно истицање броја поднетих притужби и области рада на које су се односиле</w:t>
            </w:r>
            <w:r w:rsidR="009F2DFE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  <w:p w:rsidR="005C7518" w:rsidRPr="002C4B03" w:rsidRDefault="005C7518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F2DFE" w:rsidRPr="002C4B03" w:rsidRDefault="009F2DFE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130B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току 2025</w:t>
            </w:r>
            <w:r w:rsidR="008B7086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. </w:t>
            </w:r>
            <w:r w:rsidR="008B7086" w:rsidRPr="00746B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Године </w:t>
            </w:r>
            <w:r w:rsidR="008B7086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није </w:t>
            </w:r>
            <w:r w:rsidR="008B7086" w:rsidRPr="00746B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било </w:t>
            </w:r>
            <w:r w:rsidR="00542A21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притужбе</w:t>
            </w:r>
            <w:r w:rsidR="008B7086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на рад инспектора, које се односе </w:t>
            </w:r>
            <w:r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на поступање инспектора. </w:t>
            </w:r>
          </w:p>
          <w:p w:rsidR="005C7518" w:rsidRPr="002C4B03" w:rsidRDefault="005C7518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F2DFE" w:rsidRPr="002C4B03" w:rsidTr="009E6744">
        <w:trPr>
          <w:trHeight w:val="1133"/>
        </w:trPr>
        <w:tc>
          <w:tcPr>
            <w:tcW w:w="13036" w:type="dxa"/>
            <w:hideMark/>
          </w:tcPr>
          <w:p w:rsidR="005C7518" w:rsidRPr="002C4B03" w:rsidRDefault="00FB4BD8" w:rsidP="009E6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C4B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13)</w:t>
            </w:r>
            <w:r w:rsidR="009F2DFE" w:rsidRPr="002C4B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</w:t>
            </w:r>
            <w:r w:rsidR="005C7518" w:rsidRPr="002C4B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Програми стручног усавршаваања</w:t>
            </w:r>
          </w:p>
          <w:p w:rsidR="005C7518" w:rsidRPr="002C4B03" w:rsidRDefault="005C7518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B34007" w:rsidRPr="00746B66" w:rsidRDefault="00130B1D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2025</w:t>
            </w:r>
            <w:r w:rsidR="008B7086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години одржаване су обуке инспектора по различитим основама </w:t>
            </w:r>
            <w:r w:rsidR="00227A22" w:rsidRPr="00746B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 у складу са надлежностима шумарско-ловне инспекције.</w:t>
            </w:r>
          </w:p>
          <w:p w:rsidR="005C7518" w:rsidRPr="002C4B03" w:rsidRDefault="005C7518" w:rsidP="00B340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F2DFE" w:rsidRPr="002C4B03" w:rsidTr="009E6744">
        <w:trPr>
          <w:trHeight w:val="699"/>
        </w:trPr>
        <w:tc>
          <w:tcPr>
            <w:tcW w:w="13036" w:type="dxa"/>
            <w:hideMark/>
          </w:tcPr>
          <w:p w:rsidR="005C7518" w:rsidRPr="002C4B03" w:rsidRDefault="0060443F" w:rsidP="009E6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C4B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14)</w:t>
            </w:r>
            <w:r w:rsidR="009F2DFE" w:rsidRPr="002C4B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-Иницијатив</w:t>
            </w:r>
            <w:r w:rsidR="009F2DFE" w:rsidRPr="00746B66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9F2DFE" w:rsidRPr="002C4B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за измене и допуне закона и других прописа</w:t>
            </w:r>
          </w:p>
          <w:p w:rsidR="005C7518" w:rsidRDefault="00C04DF0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04DF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току 2025. усвојен је Закон о стављању на тржиште дрвета и дрвних производа, као и измене и допуне Закона о репродуктивном материјалу шумског дрвећа</w:t>
            </w:r>
          </w:p>
          <w:p w:rsidR="00C04DF0" w:rsidRPr="002C4B03" w:rsidRDefault="00C04DF0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F2DFE" w:rsidRPr="002C4B03" w:rsidTr="009E6744">
        <w:trPr>
          <w:trHeight w:val="645"/>
        </w:trPr>
        <w:tc>
          <w:tcPr>
            <w:tcW w:w="13036" w:type="dxa"/>
            <w:hideMark/>
          </w:tcPr>
          <w:p w:rsidR="005C7518" w:rsidRPr="002C4B03" w:rsidRDefault="0060443F" w:rsidP="009E6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C4B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15)</w:t>
            </w:r>
            <w:r w:rsidR="009F2DFE" w:rsidRPr="002C4B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-Мер</w:t>
            </w:r>
            <w:r w:rsidR="009F2DFE" w:rsidRPr="00746B66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9F2DFE" w:rsidRPr="002C4B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и провер</w:t>
            </w:r>
            <w:r w:rsidR="009F2DFE" w:rsidRPr="00746B66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9F2DFE" w:rsidRPr="002C4B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предузете у циљу потпуности и ажурности података у информационом систему</w:t>
            </w:r>
          </w:p>
          <w:p w:rsidR="005C7518" w:rsidRPr="002C4B03" w:rsidRDefault="005C7518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F2DFE" w:rsidRPr="002C4B03" w:rsidRDefault="009F2DFE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Информациони систем још није </w:t>
            </w:r>
            <w:r w:rsidR="00B34007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потпуности у употреби. </w:t>
            </w:r>
            <w:r w:rsidR="00CE4F6F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Шумарска и ловна инспекција</w:t>
            </w:r>
            <w:r w:rsidR="00B34007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још увек</w:t>
            </w:r>
            <w:r w:rsidR="00342F1E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8B7086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користи ексел</w:t>
            </w:r>
            <w:r w:rsidR="00673042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табеле за редовно месечно, квартално и годишње извештавање.</w:t>
            </w:r>
          </w:p>
          <w:p w:rsidR="005C7518" w:rsidRPr="002C4B03" w:rsidRDefault="005C7518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F2DFE" w:rsidRPr="002C4B03" w:rsidTr="009E6744">
        <w:trPr>
          <w:trHeight w:val="431"/>
        </w:trPr>
        <w:tc>
          <w:tcPr>
            <w:tcW w:w="13036" w:type="dxa"/>
            <w:noWrap/>
            <w:hideMark/>
          </w:tcPr>
          <w:p w:rsidR="005C7518" w:rsidRPr="002C4B03" w:rsidRDefault="0060443F" w:rsidP="009E6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C4B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16)</w:t>
            </w:r>
            <w:r w:rsidR="009F2DFE" w:rsidRPr="002C4B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-Стањ</w:t>
            </w:r>
            <w:r w:rsidR="009F2DFE" w:rsidRPr="00746B66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9F2DFE" w:rsidRPr="002C4B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у области извршавања поверених послова инспекцијског надзора</w:t>
            </w:r>
          </w:p>
          <w:p w:rsidR="005C7518" w:rsidRPr="002C4B03" w:rsidRDefault="005C7518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F2DFE" w:rsidRPr="002C4B03" w:rsidRDefault="00A77E18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Послови шумарске</w:t>
            </w:r>
            <w:r w:rsidR="00542A21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ловне испекције поверени су А</w:t>
            </w:r>
            <w:r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утономној покрајини</w:t>
            </w:r>
            <w:r w:rsidR="00542A21" w:rsidRPr="00746B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Војводина,</w:t>
            </w:r>
            <w:r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као поверени послови државне управе. </w:t>
            </w:r>
            <w:r w:rsidR="005D0D20" w:rsidRPr="00746B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</w:t>
            </w:r>
            <w:r w:rsidR="00542A21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умарска и ловна инспекција у А</w:t>
            </w:r>
            <w:r w:rsidR="00841055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утономној покрајини</w:t>
            </w:r>
            <w:r w:rsidR="008B7086" w:rsidRPr="00746B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Војводине</w:t>
            </w:r>
            <w:r w:rsidR="00841055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је у саставу По</w:t>
            </w:r>
            <w:r w:rsidR="00582A11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крајинског секретаријата за пољ</w:t>
            </w:r>
            <w:r w:rsidR="00841055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опривреду, водопривреду и шумарство. </w:t>
            </w:r>
            <w:r w:rsidR="00EC09BC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Сарадња са републичком шумар</w:t>
            </w:r>
            <w:r w:rsidR="001C52B7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ском и ловном инспекцијом</w:t>
            </w:r>
            <w:r w:rsidR="005C7518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 области извршавања поверен</w:t>
            </w:r>
            <w:r w:rsidR="00EC09BC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их послова </w:t>
            </w:r>
            <w:r w:rsidR="009F2DFE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је </w:t>
            </w:r>
            <w:r w:rsidR="0060443F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задовољавајуће</w:t>
            </w:r>
            <w:r w:rsidR="009F2DFE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  <w:p w:rsidR="005C7518" w:rsidRPr="002C4B03" w:rsidRDefault="005C7518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0443F" w:rsidRPr="002C4B03" w:rsidTr="009E6744">
        <w:trPr>
          <w:trHeight w:val="431"/>
        </w:trPr>
        <w:tc>
          <w:tcPr>
            <w:tcW w:w="13036" w:type="dxa"/>
            <w:noWrap/>
          </w:tcPr>
          <w:p w:rsidR="005C7518" w:rsidRPr="002C4B03" w:rsidRDefault="0060443F" w:rsidP="009E6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C4B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17)-Исходи поступања правосудних органа</w:t>
            </w:r>
          </w:p>
          <w:p w:rsidR="00A26AD3" w:rsidRPr="002C4B03" w:rsidRDefault="00A26AD3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C7305E" w:rsidRPr="00746B66" w:rsidRDefault="00EF27EC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2025</w:t>
            </w:r>
            <w:r w:rsidR="00A26AD3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години укупно је п</w:t>
            </w:r>
            <w:r w:rsidR="008F11FB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однето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2A7AA7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8B7086" w:rsidRPr="00746B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8B7086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</w:t>
            </w:r>
            <w:r w:rsidR="000A710F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ахтева за покретањ</w:t>
            </w:r>
            <w:r w:rsidR="00A26AD3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 прекршајног поступка</w:t>
            </w:r>
            <w:r w:rsidR="00ED13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,од чега је решено </w:t>
            </w:r>
            <w:r w:rsidR="00A3261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="00ED13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A3261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C7305E" w:rsidRPr="00746B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док су остали у поступку</w:t>
            </w:r>
            <w:r w:rsidR="005D0D20" w:rsidRPr="00746B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. </w:t>
            </w:r>
            <w:r w:rsidR="008F11FB" w:rsidRPr="00746B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Заплењено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132</w:t>
            </w:r>
            <w:r w:rsidR="00AE391C" w:rsidRPr="00746B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просторних </w:t>
            </w:r>
            <w:r w:rsidR="002A7AA7" w:rsidRPr="00746B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метара</w:t>
            </w:r>
            <w:r w:rsidR="00877DEE" w:rsidRPr="00746B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дрвета.</w:t>
            </w:r>
          </w:p>
          <w:p w:rsidR="00A26AD3" w:rsidRPr="00746B66" w:rsidRDefault="00130B1D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Шумарско</w:t>
            </w:r>
            <w:r w:rsidR="00ED13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-ловна инспекција је извршила надзор промета дрвета са</w:t>
            </w:r>
            <w:r w:rsidR="00A3261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полицијским службеницима</w:t>
            </w:r>
            <w:r w:rsidR="00ED13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CF05C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ED13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 </w:t>
            </w:r>
            <w:r w:rsidR="00A3261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 позиву тужилаштва  6 пута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гд</w:t>
            </w:r>
            <w:r w:rsidR="00ED13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 је извршена и заплена дрвета и поднете кривичне пријаве</w:t>
            </w:r>
            <w:r w:rsidR="00CF05C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  <w:p w:rsidR="00673042" w:rsidRPr="002C4B03" w:rsidRDefault="00673042" w:rsidP="00A812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F2DFE" w:rsidRPr="009F17EC" w:rsidTr="009E6744">
        <w:trPr>
          <w:trHeight w:val="960"/>
        </w:trPr>
        <w:tc>
          <w:tcPr>
            <w:tcW w:w="13036" w:type="dxa"/>
            <w:noWrap/>
            <w:hideMark/>
          </w:tcPr>
          <w:p w:rsidR="00A26AD3" w:rsidRPr="002C4B03" w:rsidRDefault="00673042" w:rsidP="009E67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C4B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Показатељи</w:t>
            </w:r>
            <w:r w:rsidR="008F364C" w:rsidRPr="002C4B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делотворности инспекцијског надзора.</w:t>
            </w:r>
          </w:p>
          <w:p w:rsidR="00A81283" w:rsidRPr="002C4B03" w:rsidRDefault="00A81283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8F364C" w:rsidRDefault="008F364C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AD0174" w:rsidRPr="00746B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Шумарска и ловна инспекција је</w:t>
            </w:r>
            <w:r w:rsidR="00AD0174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</w:t>
            </w:r>
            <w:r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очавајући у којим сегментима је било потребно</w:t>
            </w:r>
            <w:r w:rsidR="00813A75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превентивно реаговати вршила</w:t>
            </w:r>
            <w:r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службено саветодавне посете које су садржале и дописе са препорукама, повећане су и превентивне активности са циљем заштите јавног интереса и ефикасним управљањем ризицима у складу са реалним могућностима шумарске и  ловне инспекције.</w:t>
            </w:r>
            <w:r w:rsidR="00AD0174" w:rsidRPr="00746B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Као резултат превентивног рада ове инспекције надзирани субјекти се све чешће обраћају овој инспекцији у циљу упознавања са законском регулативом </w:t>
            </w:r>
            <w:r w:rsidR="00C7305E" w:rsidRPr="00746B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што резултира мањем кр</w:t>
            </w:r>
            <w:r w:rsidR="00813A75" w:rsidRPr="00746B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шењу прописа и законском поступању</w:t>
            </w:r>
            <w:r w:rsidR="00C7305E" w:rsidRPr="00746B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  <w:p w:rsidR="00EF27EC" w:rsidRDefault="00EF27EC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F27EC" w:rsidRDefault="00EF27EC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CF05C1" w:rsidRPr="00746B66" w:rsidRDefault="00CF05C1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8608E4" w:rsidRPr="002C4B03" w:rsidRDefault="008608E4" w:rsidP="009E6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8608E4" w:rsidRPr="002C4B03" w:rsidRDefault="008608E4" w:rsidP="009E6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C4B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Преглед постављених радних циљева шумарских и ловних инспектора:</w:t>
            </w:r>
          </w:p>
          <w:p w:rsidR="00A26AD3" w:rsidRPr="002C4B03" w:rsidRDefault="00A26AD3" w:rsidP="009E67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8608E4" w:rsidRPr="002C4B03" w:rsidRDefault="008608E4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Према </w:t>
            </w:r>
            <w:r w:rsidR="00EF27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редоследу значаја за 2025</w:t>
            </w:r>
            <w:r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годину одређени су следећи радни</w:t>
            </w:r>
            <w:r w:rsidR="00625499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циљеви сходно Уредби</w:t>
            </w:r>
            <w:r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 оцењивању државних службеник</w:t>
            </w:r>
            <w:r w:rsidR="00625499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 :</w:t>
            </w:r>
          </w:p>
          <w:p w:rsidR="00624CC4" w:rsidRPr="002C4B03" w:rsidRDefault="008608E4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Примарни радни циљ био је </w:t>
            </w:r>
            <w:r w:rsidR="009A19F3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контрола </w:t>
            </w:r>
            <w:r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спровођењ</w:t>
            </w:r>
            <w:r w:rsidR="009A19F3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позитивних законских прописа из Закона о шумама</w:t>
            </w:r>
            <w:r w:rsidR="00790F90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EF27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359</w:t>
            </w:r>
            <w:r w:rsidR="00B8434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624CC4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надзор</w:t>
            </w:r>
            <w:r w:rsidR="00625499" w:rsidRPr="00746B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624CC4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  <w:r w:rsidR="00625499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 Закона о дивљачи и ловству</w:t>
            </w:r>
            <w:r w:rsidR="008F11FB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EF27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231</w:t>
            </w:r>
            <w:r w:rsidR="00625499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надзора </w:t>
            </w:r>
            <w:r w:rsidR="00625499" w:rsidRPr="00746B6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Закона о репродуктивном материјалу шумског дрвећа</w:t>
            </w:r>
            <w:r w:rsidR="00624CC4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CD1E76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78</w:t>
            </w:r>
            <w:r w:rsidR="004C6590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625499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надзора, </w:t>
            </w:r>
            <w:r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Закона о здрављу биља</w:t>
            </w:r>
            <w:r w:rsidR="00624CC4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EF27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</w:t>
            </w:r>
            <w:r w:rsidR="002A7AA7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624CC4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надзора и редовно извештавање.</w:t>
            </w:r>
          </w:p>
          <w:p w:rsidR="008608E4" w:rsidRPr="002C4B03" w:rsidRDefault="008608E4" w:rsidP="009E6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 основу утврђ</w:t>
            </w:r>
            <w:r w:rsidR="00582A11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ених радних циљева урађен је и Г</w:t>
            </w:r>
            <w:r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одишњи план рада шу</w:t>
            </w:r>
            <w:r w:rsidR="008F11FB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</w:t>
            </w:r>
            <w:r w:rsidR="0062448F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арске и ловне</w:t>
            </w:r>
            <w:r w:rsidR="00EF27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инспекције за 2025</w:t>
            </w:r>
            <w:r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 годину, а извршење рад</w:t>
            </w:r>
            <w:r w:rsidR="00582A11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них циљева јасно је видљиво из И</w:t>
            </w:r>
            <w:r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звештаја о раду </w:t>
            </w:r>
            <w:r w:rsidR="00790F90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покрајинск</w:t>
            </w:r>
            <w:r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 шумарске и лов</w:t>
            </w:r>
            <w:r w:rsidR="0062448F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</w:t>
            </w:r>
            <w:r w:rsidR="00EF27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инспекције за 2025</w:t>
            </w:r>
            <w:r w:rsidR="00C7305E" w:rsidRPr="002C4B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. годину </w:t>
            </w:r>
          </w:p>
          <w:p w:rsidR="009F2DFE" w:rsidRPr="00746B66" w:rsidRDefault="009F2DFE" w:rsidP="009E674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B0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                                                                </w:t>
            </w:r>
            <w:r w:rsidRPr="00746B66">
              <w:rPr>
                <w:rFonts w:ascii="Times New Roman" w:hAnsi="Times New Roman" w:cs="Times New Roman"/>
                <w:b/>
                <w:sz w:val="24"/>
                <w:szCs w:val="24"/>
              </w:rPr>
              <w:t>Начелник шумарске и ловне инспекције</w:t>
            </w:r>
            <w:r w:rsidR="00327AF9" w:rsidRPr="00746B6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82A11" w:rsidRPr="00060EE5" w:rsidRDefault="007E56F0" w:rsidP="00327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B6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                                                                                                                     </w:t>
            </w:r>
            <w:r w:rsidR="00060EE5" w:rsidRPr="00746B66">
              <w:rPr>
                <w:rFonts w:ascii="Times New Roman" w:hAnsi="Times New Roman" w:cs="Times New Roman"/>
                <w:b/>
                <w:sz w:val="24"/>
                <w:szCs w:val="24"/>
              </w:rPr>
              <w:t>Милена Граховац</w:t>
            </w:r>
          </w:p>
          <w:p w:rsidR="00A427D2" w:rsidRDefault="00A427D2" w:rsidP="009E674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DFE" w:rsidRPr="00A427D2" w:rsidRDefault="00A427D2" w:rsidP="00A427D2">
            <w:pPr>
              <w:tabs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861CD7" w:rsidRDefault="00861CD7" w:rsidP="00A427D2">
      <w:pPr>
        <w:rPr>
          <w:noProof/>
        </w:rPr>
      </w:pPr>
    </w:p>
    <w:p w:rsidR="00861CD7" w:rsidRDefault="00861CD7" w:rsidP="00A427D2">
      <w:pPr>
        <w:rPr>
          <w:noProof/>
        </w:rPr>
      </w:pPr>
    </w:p>
    <w:p w:rsidR="00861CD7" w:rsidRDefault="00861CD7" w:rsidP="00A427D2">
      <w:pPr>
        <w:rPr>
          <w:noProof/>
        </w:rPr>
      </w:pPr>
    </w:p>
    <w:p w:rsidR="00861CD7" w:rsidRDefault="00861CD7" w:rsidP="00A427D2">
      <w:pPr>
        <w:rPr>
          <w:noProof/>
        </w:rPr>
      </w:pPr>
    </w:p>
    <w:p w:rsidR="00861CD7" w:rsidRDefault="00861CD7" w:rsidP="00A427D2">
      <w:pPr>
        <w:rPr>
          <w:noProof/>
        </w:rPr>
      </w:pPr>
    </w:p>
    <w:p w:rsidR="00861CD7" w:rsidRDefault="00861CD7" w:rsidP="00A427D2">
      <w:pPr>
        <w:rPr>
          <w:noProof/>
        </w:rPr>
      </w:pPr>
    </w:p>
    <w:p w:rsidR="00861CD7" w:rsidRDefault="00861CD7" w:rsidP="00A427D2">
      <w:pPr>
        <w:rPr>
          <w:noProof/>
        </w:rPr>
      </w:pPr>
    </w:p>
    <w:p w:rsidR="00861CD7" w:rsidRDefault="00861CD7" w:rsidP="00A427D2">
      <w:pPr>
        <w:rPr>
          <w:noProof/>
        </w:rPr>
      </w:pPr>
    </w:p>
    <w:p w:rsidR="00861CD7" w:rsidRDefault="00861CD7" w:rsidP="00A427D2">
      <w:pPr>
        <w:rPr>
          <w:noProof/>
        </w:rPr>
      </w:pPr>
    </w:p>
    <w:p w:rsidR="00861CD7" w:rsidRDefault="00861CD7" w:rsidP="00A427D2">
      <w:pPr>
        <w:rPr>
          <w:noProof/>
        </w:rPr>
      </w:pPr>
    </w:p>
    <w:p w:rsidR="00861CD7" w:rsidRDefault="00861CD7" w:rsidP="00A427D2">
      <w:pPr>
        <w:rPr>
          <w:noProof/>
        </w:rPr>
      </w:pPr>
    </w:p>
    <w:p w:rsidR="00861CD7" w:rsidRDefault="00861CD7" w:rsidP="00A427D2">
      <w:pPr>
        <w:rPr>
          <w:noProof/>
        </w:rPr>
      </w:pPr>
    </w:p>
    <w:p w:rsidR="00861CD7" w:rsidRDefault="00861CD7" w:rsidP="00A427D2">
      <w:pPr>
        <w:rPr>
          <w:noProof/>
        </w:rPr>
      </w:pPr>
    </w:p>
    <w:p w:rsidR="00861CD7" w:rsidRDefault="00861CD7" w:rsidP="00A427D2">
      <w:pPr>
        <w:rPr>
          <w:noProof/>
        </w:rPr>
      </w:pPr>
    </w:p>
    <w:p w:rsidR="00861CD7" w:rsidRDefault="00861CD7" w:rsidP="00A427D2">
      <w:pPr>
        <w:rPr>
          <w:noProof/>
        </w:rPr>
      </w:pPr>
    </w:p>
    <w:p w:rsidR="00861CD7" w:rsidRDefault="00861CD7" w:rsidP="00A427D2">
      <w:pPr>
        <w:rPr>
          <w:noProof/>
        </w:rPr>
      </w:pPr>
    </w:p>
    <w:p w:rsidR="00861CD7" w:rsidRDefault="00861CD7" w:rsidP="00A427D2">
      <w:pPr>
        <w:rPr>
          <w:noProof/>
        </w:rPr>
      </w:pPr>
    </w:p>
    <w:p w:rsidR="00861CD7" w:rsidRDefault="00861CD7" w:rsidP="00A427D2">
      <w:pPr>
        <w:rPr>
          <w:noProof/>
        </w:rPr>
      </w:pPr>
    </w:p>
    <w:p w:rsidR="00861CD7" w:rsidRDefault="00861CD7" w:rsidP="00A427D2">
      <w:pPr>
        <w:rPr>
          <w:noProof/>
        </w:rPr>
      </w:pPr>
    </w:p>
    <w:p w:rsidR="00861CD7" w:rsidRDefault="00861CD7" w:rsidP="00A427D2">
      <w:pPr>
        <w:rPr>
          <w:noProof/>
        </w:rPr>
      </w:pPr>
    </w:p>
    <w:p w:rsidR="00A427D2" w:rsidRPr="00A427D2" w:rsidRDefault="00A427D2" w:rsidP="00A427D2">
      <w:pPr>
        <w:rPr>
          <w:rFonts w:ascii="Times New Roman" w:hAnsi="Times New Roman" w:cs="Times New Roman"/>
        </w:rPr>
      </w:pPr>
    </w:p>
    <w:p w:rsidR="00F67918" w:rsidRDefault="00F67918" w:rsidP="009D7F2A">
      <w:pPr>
        <w:autoSpaceDE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Cs w:val="21"/>
          <w:lang w:val="sr-Cyrl-CS"/>
        </w:rPr>
      </w:pPr>
    </w:p>
    <w:p w:rsidR="00F67918" w:rsidRDefault="00F67918" w:rsidP="009D7F2A">
      <w:pPr>
        <w:autoSpaceDE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Cs w:val="21"/>
          <w:lang w:val="sr-Cyrl-CS"/>
        </w:rPr>
      </w:pPr>
    </w:p>
    <w:p w:rsidR="00F67918" w:rsidRDefault="00F67918" w:rsidP="009D7F2A">
      <w:pPr>
        <w:autoSpaceDE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Cs w:val="21"/>
          <w:lang w:val="sr-Cyrl-CS"/>
        </w:rPr>
      </w:pPr>
    </w:p>
    <w:p w:rsidR="00454B43" w:rsidRDefault="009709F2" w:rsidP="009D7F2A">
      <w:pPr>
        <w:autoSpaceDE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Cs w:val="21"/>
          <w:lang w:val="sr-Cyrl-CS"/>
        </w:rPr>
      </w:pPr>
      <w:r>
        <w:rPr>
          <w:rFonts w:ascii="Times New Roman" w:eastAsia="Times New Roman" w:hAnsi="Times New Roman" w:cs="Times New Roman"/>
          <w:bCs/>
          <w:szCs w:val="21"/>
          <w:lang w:val="sr-Cyrl-CS"/>
        </w:rPr>
        <w:lastRenderedPageBreak/>
        <w:t xml:space="preserve">Прилог 1 </w:t>
      </w:r>
      <w:r w:rsidR="00454B43" w:rsidRPr="009F17EC">
        <w:rPr>
          <w:rFonts w:ascii="Times New Roman" w:eastAsia="Times New Roman" w:hAnsi="Times New Roman" w:cs="Times New Roman"/>
          <w:bCs/>
          <w:szCs w:val="21"/>
          <w:lang w:val="sr-Cyrl-CS"/>
        </w:rPr>
        <w:t>Извршење</w:t>
      </w:r>
      <w:r w:rsidR="00454B43" w:rsidRPr="00454B43">
        <w:rPr>
          <w:rFonts w:ascii="Times New Roman" w:eastAsia="Times New Roman" w:hAnsi="Times New Roman" w:cs="Times New Roman"/>
          <w:bCs/>
          <w:szCs w:val="21"/>
          <w:lang w:val="sr-Cyrl-CS"/>
        </w:rPr>
        <w:t xml:space="preserve"> према врсти надзора</w:t>
      </w:r>
      <w:r w:rsidR="00B84343">
        <w:rPr>
          <w:rFonts w:ascii="Times New Roman" w:eastAsia="Times New Roman" w:hAnsi="Times New Roman" w:cs="Times New Roman"/>
          <w:bCs/>
          <w:szCs w:val="21"/>
          <w:lang w:val="sr-Cyrl-CS"/>
        </w:rPr>
        <w:t xml:space="preserve"> у 202</w:t>
      </w:r>
      <w:r w:rsidR="00912313">
        <w:rPr>
          <w:rFonts w:ascii="Times New Roman" w:eastAsia="Times New Roman" w:hAnsi="Times New Roman" w:cs="Times New Roman"/>
          <w:bCs/>
          <w:szCs w:val="21"/>
          <w:lang w:val="sr-Cyrl-CS"/>
        </w:rPr>
        <w:t>5</w:t>
      </w:r>
      <w:r w:rsidR="000C5CFE">
        <w:rPr>
          <w:rFonts w:ascii="Times New Roman" w:eastAsia="Times New Roman" w:hAnsi="Times New Roman" w:cs="Times New Roman"/>
          <w:bCs/>
          <w:szCs w:val="21"/>
          <w:lang w:val="sr-Cyrl-CS"/>
        </w:rPr>
        <w:t xml:space="preserve"> години</w:t>
      </w:r>
    </w:p>
    <w:p w:rsidR="00BD65E1" w:rsidRDefault="00BD65E1" w:rsidP="00454B43">
      <w:pPr>
        <w:autoSpaceDE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Cs w:val="21"/>
          <w:lang w:val="sr-Cyrl-CS"/>
        </w:rPr>
      </w:pPr>
    </w:p>
    <w:p w:rsidR="00BD65E1" w:rsidRPr="00454B43" w:rsidRDefault="00BD65E1" w:rsidP="00454B43">
      <w:pPr>
        <w:autoSpaceDE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Cs w:val="21"/>
          <w:lang w:val="sr-Latn-CS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"/>
        <w:gridCol w:w="3471"/>
        <w:gridCol w:w="1076"/>
        <w:gridCol w:w="1508"/>
        <w:gridCol w:w="1721"/>
        <w:gridCol w:w="2343"/>
        <w:gridCol w:w="2020"/>
        <w:gridCol w:w="1828"/>
      </w:tblGrid>
      <w:tr w:rsidR="00454B43" w:rsidRPr="00454B43" w:rsidTr="00964F4C">
        <w:trPr>
          <w:trHeight w:val="27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B43" w:rsidRPr="00454B43" w:rsidRDefault="00454B43" w:rsidP="00454B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54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РБ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B43" w:rsidRPr="00454B43" w:rsidRDefault="00454B43" w:rsidP="00454B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54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ОПИС ПОСЛА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B43" w:rsidRPr="00454B43" w:rsidRDefault="00454B43" w:rsidP="00454B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54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Укупно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B43" w:rsidRPr="00454B43" w:rsidRDefault="00454B43" w:rsidP="00454B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54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РЕДОВАН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B43" w:rsidRPr="00454B43" w:rsidRDefault="00454B43" w:rsidP="00454B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54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ВАНРЕДАН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B43" w:rsidRPr="000C5CFE" w:rsidRDefault="000C5CFE" w:rsidP="00454B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КОНТРОЛНИ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B43" w:rsidRPr="00454B43" w:rsidRDefault="000C5CFE" w:rsidP="00454B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0C5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ПРЕВЕНТВНИ- СЛУЖ.ПОСЕТЕ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4B43" w:rsidRPr="00454B43" w:rsidRDefault="00454B43" w:rsidP="00454B4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54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ДОПУНСКИ</w:t>
            </w:r>
          </w:p>
        </w:tc>
      </w:tr>
      <w:tr w:rsidR="00D20B1D" w:rsidRPr="00454B43" w:rsidTr="000D25BB">
        <w:trPr>
          <w:trHeight w:val="315"/>
        </w:trPr>
        <w:tc>
          <w:tcPr>
            <w:tcW w:w="1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0B1D" w:rsidRPr="00454B43" w:rsidRDefault="00D20B1D" w:rsidP="00D20B1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54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А</w:t>
            </w:r>
          </w:p>
        </w:tc>
        <w:tc>
          <w:tcPr>
            <w:tcW w:w="12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B1D" w:rsidRPr="00454B43" w:rsidRDefault="00D20B1D" w:rsidP="00D20B1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54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ЗАКОН О ШУМАМА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B1D" w:rsidRPr="00986A4A" w:rsidRDefault="00244D68" w:rsidP="00851E88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282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B1D" w:rsidRPr="00EA63CF" w:rsidRDefault="00194263" w:rsidP="00D20B1D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</w:t>
            </w:r>
            <w:r w:rsidR="00244D68">
              <w:rPr>
                <w:rFonts w:ascii="Arial" w:hAnsi="Arial" w:cs="Arial"/>
                <w:sz w:val="20"/>
                <w:szCs w:val="20"/>
                <w:lang w:val="sr-Cyrl-RS"/>
              </w:rPr>
              <w:t>68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B1D" w:rsidRPr="00EA63CF" w:rsidRDefault="00EA63CF" w:rsidP="00D20B1D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194263">
              <w:rPr>
                <w:rFonts w:ascii="Arial" w:hAnsi="Arial" w:cs="Arial"/>
                <w:sz w:val="20"/>
                <w:szCs w:val="20"/>
                <w:lang w:val="sr-Cyrl-RS"/>
              </w:rPr>
              <w:t xml:space="preserve">  </w:t>
            </w:r>
            <w:r w:rsidR="00244D68">
              <w:rPr>
                <w:rFonts w:ascii="Arial" w:hAnsi="Arial" w:cs="Arial"/>
                <w:sz w:val="20"/>
                <w:szCs w:val="20"/>
                <w:lang w:val="sr-Cyrl-RS"/>
              </w:rPr>
              <w:t xml:space="preserve">  151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B1D" w:rsidRPr="006C0C50" w:rsidRDefault="000E7547" w:rsidP="006C0C5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              </w:t>
            </w:r>
            <w:r w:rsidR="00244D68">
              <w:rPr>
                <w:rFonts w:ascii="Arial" w:hAnsi="Arial" w:cs="Arial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B1D" w:rsidRPr="00EA63CF" w:rsidRDefault="00EA63CF" w:rsidP="000E7547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      </w:t>
            </w:r>
            <w:r w:rsidR="00194263"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</w:t>
            </w:r>
            <w:r w:rsidR="00244D68">
              <w:rPr>
                <w:rFonts w:ascii="Arial" w:hAnsi="Arial" w:cs="Arial"/>
                <w:sz w:val="20"/>
                <w:szCs w:val="20"/>
                <w:lang w:val="sr-Cyrl-RS"/>
              </w:rPr>
              <w:t xml:space="preserve"> 59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B1D" w:rsidRPr="00EA63CF" w:rsidRDefault="00244D68" w:rsidP="00D20B1D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</w:t>
            </w:r>
          </w:p>
        </w:tc>
      </w:tr>
      <w:tr w:rsidR="00D20B1D" w:rsidRPr="00454B43" w:rsidTr="00FB5454">
        <w:trPr>
          <w:trHeight w:val="51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0B1D" w:rsidRPr="00454B43" w:rsidRDefault="00D20B1D" w:rsidP="00D20B1D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/>
              </w:rPr>
            </w:pPr>
            <w:r w:rsidRPr="00454B4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Б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B1D" w:rsidRPr="00454B43" w:rsidRDefault="00D20B1D" w:rsidP="00D20B1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54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ЗАКОН О РЕПРОДУКТИВНОМ МАТЕРИЈ. ШУМ. ДРВЕЋА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0B1D" w:rsidRPr="00C03A97" w:rsidRDefault="00244D68" w:rsidP="008B7086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    69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0B1D" w:rsidRPr="00637C4D" w:rsidRDefault="000E7547" w:rsidP="00637C4D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       </w:t>
            </w:r>
            <w:r w:rsidR="00EA63C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244D68">
              <w:rPr>
                <w:rFonts w:ascii="Arial" w:hAnsi="Arial" w:cs="Arial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0B1D" w:rsidRPr="00EA63CF" w:rsidRDefault="00244D68" w:rsidP="000E7547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           58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0B1D" w:rsidRPr="00194263" w:rsidRDefault="00194263" w:rsidP="00851E88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/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0B1D" w:rsidRPr="00EA63CF" w:rsidRDefault="00EA63CF" w:rsidP="00EA63CF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     </w:t>
            </w:r>
            <w:r w:rsidR="002629B5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194263">
              <w:rPr>
                <w:rFonts w:ascii="Arial" w:hAnsi="Arial" w:cs="Arial"/>
                <w:sz w:val="20"/>
                <w:szCs w:val="20"/>
                <w:lang w:val="sr-Cyrl-RS"/>
              </w:rPr>
              <w:t xml:space="preserve">  </w:t>
            </w:r>
            <w:r w:rsidR="00244D68">
              <w:rPr>
                <w:rFonts w:ascii="Arial" w:hAnsi="Arial" w:cs="Arial"/>
                <w:sz w:val="20"/>
                <w:szCs w:val="20"/>
                <w:lang w:val="sr-Cyrl-RS"/>
              </w:rPr>
              <w:t xml:space="preserve">  9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0B1D" w:rsidRPr="00194263" w:rsidRDefault="00194263" w:rsidP="00D20B1D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/</w:t>
            </w:r>
          </w:p>
        </w:tc>
      </w:tr>
      <w:tr w:rsidR="00D20B1D" w:rsidRPr="00454B43" w:rsidTr="00894C97">
        <w:trPr>
          <w:trHeight w:val="315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B1D" w:rsidRPr="00454B43" w:rsidRDefault="00D20B1D" w:rsidP="00D20B1D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/>
              </w:rPr>
            </w:pPr>
            <w:r w:rsidRPr="00454B4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В.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B1D" w:rsidRPr="00454B43" w:rsidRDefault="00D20B1D" w:rsidP="00D20B1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54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ЗАКОН О ЗДРАВЉУ БИЉА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0B1D" w:rsidRPr="00C03A97" w:rsidRDefault="00244D68" w:rsidP="00D20B1D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29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0B1D" w:rsidRPr="00CE62A3" w:rsidRDefault="00623397" w:rsidP="00EA63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         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0B1D" w:rsidRPr="00EA63CF" w:rsidRDefault="00EA63CF" w:rsidP="00D20B1D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</w:t>
            </w:r>
            <w:r w:rsidR="00194263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0928F1">
              <w:rPr>
                <w:rFonts w:ascii="Arial" w:hAnsi="Arial" w:cs="Arial"/>
                <w:sz w:val="20"/>
                <w:szCs w:val="20"/>
                <w:lang w:val="sr-Cyrl-RS"/>
              </w:rPr>
              <w:t xml:space="preserve"> 25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0B1D" w:rsidRPr="00CE62A3" w:rsidRDefault="00194263" w:rsidP="00D20B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/</w:t>
            </w:r>
            <w:r w:rsidR="00D20B1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0B1D" w:rsidRPr="00EA63CF" w:rsidRDefault="00EA63CF" w:rsidP="00EA63CF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          </w:t>
            </w:r>
            <w:r w:rsidR="00194263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623397">
              <w:rPr>
                <w:rFonts w:ascii="Arial" w:hAnsi="Arial" w:cs="Arial"/>
                <w:sz w:val="20"/>
                <w:szCs w:val="20"/>
                <w:lang w:val="sr-Cyrl-RS"/>
              </w:rPr>
              <w:t xml:space="preserve"> 4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0B1D" w:rsidRPr="00194263" w:rsidRDefault="00194263" w:rsidP="00D20B1D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/</w:t>
            </w:r>
          </w:p>
        </w:tc>
      </w:tr>
      <w:tr w:rsidR="00D20B1D" w:rsidRPr="00454B43" w:rsidTr="008B06E2">
        <w:trPr>
          <w:trHeight w:val="315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B1D" w:rsidRPr="00454B43" w:rsidRDefault="00D20B1D" w:rsidP="00D20B1D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/>
              </w:rPr>
            </w:pPr>
            <w:r w:rsidRPr="00454B4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Г.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B1D" w:rsidRPr="00454B43" w:rsidRDefault="00D20B1D" w:rsidP="00D20B1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54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ЗАКОН ДИВЉАЧИ И ЛОВСТВУ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0B1D" w:rsidRPr="00C03A97" w:rsidRDefault="008B7086" w:rsidP="00C03A97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</w:t>
            </w:r>
            <w:r w:rsidR="00986A4A">
              <w:rPr>
                <w:rFonts w:ascii="Arial" w:hAnsi="Arial" w:cs="Arial"/>
                <w:sz w:val="20"/>
                <w:szCs w:val="20"/>
                <w:lang w:val="sr-Cyrl-R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</w:t>
            </w:r>
            <w:r w:rsidR="00244D68">
              <w:rPr>
                <w:rFonts w:ascii="Arial" w:hAnsi="Arial" w:cs="Arial"/>
                <w:sz w:val="20"/>
                <w:szCs w:val="20"/>
                <w:lang w:val="sr-Cyrl-RS"/>
              </w:rPr>
              <w:t>265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0B1D" w:rsidRPr="006C0C50" w:rsidRDefault="000E7547" w:rsidP="006C0C5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      </w:t>
            </w:r>
            <w:r w:rsidR="00194263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0928F1">
              <w:rPr>
                <w:rFonts w:ascii="Arial" w:hAnsi="Arial" w:cs="Arial"/>
                <w:sz w:val="20"/>
                <w:szCs w:val="20"/>
                <w:lang w:val="sr-Cyrl-RS"/>
              </w:rPr>
              <w:t xml:space="preserve"> 47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0B1D" w:rsidRPr="00EA63CF" w:rsidRDefault="000928F1" w:rsidP="00EA63CF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        159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0B1D" w:rsidRPr="00194263" w:rsidRDefault="00194263" w:rsidP="00D20B1D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/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0B1D" w:rsidRPr="00EA63CF" w:rsidRDefault="00244D68" w:rsidP="00D20B1D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59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0B1D" w:rsidRPr="00194263" w:rsidRDefault="00194263" w:rsidP="00D20B1D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/</w:t>
            </w:r>
          </w:p>
        </w:tc>
      </w:tr>
      <w:tr w:rsidR="00A26A9E" w:rsidRPr="00454B43" w:rsidTr="009F1EED">
        <w:trPr>
          <w:trHeight w:val="315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6A9E" w:rsidRPr="00454B43" w:rsidRDefault="00A26A9E" w:rsidP="00A26A9E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/>
              </w:rPr>
            </w:pPr>
            <w:r w:rsidRPr="00454B4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Д.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6A9E" w:rsidRPr="00454B43" w:rsidRDefault="00A26A9E" w:rsidP="00A26A9E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54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ДРУГИ ПРОПИСИ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6A9E" w:rsidRPr="00851E88" w:rsidRDefault="00A26A9E" w:rsidP="00A26A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6A9E" w:rsidRPr="00637C4D" w:rsidRDefault="006C0C50" w:rsidP="00637C4D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</w:t>
            </w:r>
            <w:r w:rsidR="00194263"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</w:t>
            </w:r>
            <w:r w:rsidR="00194263">
              <w:rPr>
                <w:rFonts w:ascii="Arial" w:hAnsi="Arial" w:cs="Arial"/>
                <w:sz w:val="20"/>
                <w:szCs w:val="20"/>
                <w:lang w:val="sr-Cyrl-RS"/>
              </w:rPr>
              <w:t>/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6A9E" w:rsidRPr="00194263" w:rsidRDefault="00194263" w:rsidP="00A26A9E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/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6A9E" w:rsidRPr="00194263" w:rsidRDefault="00A26A9E" w:rsidP="00A26A9E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194263">
              <w:rPr>
                <w:rFonts w:ascii="Arial" w:hAnsi="Arial" w:cs="Arial"/>
                <w:sz w:val="20"/>
                <w:szCs w:val="20"/>
                <w:lang w:val="sr-Cyrl-RS"/>
              </w:rPr>
              <w:t>/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6A9E" w:rsidRPr="00194263" w:rsidRDefault="00194263" w:rsidP="00A26A9E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/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6A9E" w:rsidRPr="00CE62A3" w:rsidRDefault="00194263" w:rsidP="00A26A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/</w:t>
            </w:r>
            <w:r w:rsidR="00A26A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26A9E" w:rsidRPr="00454B43" w:rsidTr="00F65F3A">
        <w:trPr>
          <w:trHeight w:val="300"/>
        </w:trPr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6A9E" w:rsidRPr="00454B43" w:rsidRDefault="00A26A9E" w:rsidP="00A26A9E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/>
              </w:rPr>
            </w:pPr>
            <w:r w:rsidRPr="00454B4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 </w:t>
            </w: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6A9E" w:rsidRPr="00454B43" w:rsidRDefault="00A26A9E" w:rsidP="00A26A9E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54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С В Е Г 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6A9E" w:rsidRPr="00C03A97" w:rsidRDefault="00244D68" w:rsidP="00986A4A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   645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6A9E" w:rsidRPr="00C03A97" w:rsidRDefault="000E7547" w:rsidP="00C03A97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   </w:t>
            </w:r>
            <w:r w:rsidR="00194263"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</w:t>
            </w:r>
            <w:r w:rsidR="000928F1">
              <w:rPr>
                <w:rFonts w:ascii="Arial" w:hAnsi="Arial" w:cs="Arial"/>
                <w:sz w:val="20"/>
                <w:szCs w:val="20"/>
                <w:lang w:val="sr-Cyrl-RS"/>
              </w:rPr>
              <w:t>117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6A9E" w:rsidRPr="006C0C50" w:rsidRDefault="000E7547" w:rsidP="006C0C5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   </w:t>
            </w:r>
            <w:r w:rsidR="00194263"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</w:t>
            </w:r>
            <w:r w:rsidR="000928F1">
              <w:rPr>
                <w:rFonts w:ascii="Arial" w:hAnsi="Arial" w:cs="Arial"/>
                <w:sz w:val="20"/>
                <w:szCs w:val="20"/>
                <w:lang w:val="sr-Cyrl-RS"/>
              </w:rPr>
              <w:t>393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6A9E" w:rsidRPr="0041078F" w:rsidRDefault="000928F1" w:rsidP="001844E0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6A9E" w:rsidRPr="006C0C50" w:rsidRDefault="00194263" w:rsidP="006C0C5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     </w:t>
            </w:r>
            <w:r w:rsidR="000E7547"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</w:t>
            </w:r>
            <w:r w:rsidR="000928F1">
              <w:rPr>
                <w:rFonts w:ascii="Arial" w:hAnsi="Arial" w:cs="Arial"/>
                <w:sz w:val="20"/>
                <w:szCs w:val="20"/>
                <w:lang w:val="sr-Cyrl-RS"/>
              </w:rPr>
              <w:t>131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6A9E" w:rsidRPr="00BD781D" w:rsidRDefault="000928F1" w:rsidP="00A26A9E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</w:t>
            </w:r>
          </w:p>
        </w:tc>
      </w:tr>
      <w:tr w:rsidR="00A26A9E" w:rsidRPr="00454B43" w:rsidTr="00B15B06">
        <w:trPr>
          <w:trHeight w:val="30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6A9E" w:rsidRPr="00454B43" w:rsidRDefault="00A26A9E" w:rsidP="00A26A9E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/>
              </w:rPr>
            </w:pPr>
            <w:r w:rsidRPr="00454B4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 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6A9E" w:rsidRPr="00BC3298" w:rsidRDefault="00A26A9E" w:rsidP="00BC329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 ПРОЦЕНТИМА</w:t>
            </w:r>
            <w:r w:rsidR="00BC32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- </w:t>
            </w:r>
            <w:r w:rsidRPr="00454B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%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6A9E" w:rsidRPr="00986A4A" w:rsidRDefault="00986A4A" w:rsidP="00986A4A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   100%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6A9E" w:rsidRPr="00190094" w:rsidRDefault="000928F1" w:rsidP="0019009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       18.2</w:t>
            </w:r>
            <w:r w:rsidR="00190094">
              <w:rPr>
                <w:rFonts w:ascii="Arial" w:hAnsi="Arial" w:cs="Arial"/>
                <w:sz w:val="20"/>
                <w:szCs w:val="20"/>
                <w:lang w:val="sr-Cyrl-RS"/>
              </w:rPr>
              <w:t>%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6A9E" w:rsidRPr="00190094" w:rsidRDefault="002629B5" w:rsidP="0019009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 </w:t>
            </w:r>
            <w:r w:rsidR="000928F1"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60.9</w:t>
            </w:r>
            <w:r w:rsidR="00F546F5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190094">
              <w:rPr>
                <w:rFonts w:ascii="Arial" w:hAnsi="Arial" w:cs="Arial"/>
                <w:sz w:val="20"/>
                <w:szCs w:val="20"/>
                <w:lang w:val="sr-Cyrl-RS"/>
              </w:rPr>
              <w:t>%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6A9E" w:rsidRPr="004B5F51" w:rsidRDefault="000928F1" w:rsidP="0019009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             0,3</w:t>
            </w:r>
            <w:r w:rsidR="00BD7B8C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190094">
              <w:rPr>
                <w:rFonts w:ascii="Arial" w:hAnsi="Arial" w:cs="Arial"/>
                <w:sz w:val="20"/>
                <w:szCs w:val="20"/>
                <w:lang w:val="sr-Cyrl-RS"/>
              </w:rPr>
              <w:t>%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6A9E" w:rsidRPr="00190094" w:rsidRDefault="000928F1" w:rsidP="00851E88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20.3</w:t>
            </w:r>
            <w:r w:rsidR="00F546F5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190094">
              <w:rPr>
                <w:rFonts w:ascii="Arial" w:hAnsi="Arial" w:cs="Arial"/>
                <w:sz w:val="20"/>
                <w:szCs w:val="20"/>
                <w:lang w:val="sr-Cyrl-RS"/>
              </w:rPr>
              <w:t>%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6A9E" w:rsidRPr="00190094" w:rsidRDefault="00F546F5" w:rsidP="00DF3B1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          0,</w:t>
            </w:r>
            <w:r w:rsidR="000928F1">
              <w:rPr>
                <w:rFonts w:ascii="Arial" w:hAnsi="Arial" w:cs="Arial"/>
                <w:sz w:val="20"/>
                <w:szCs w:val="20"/>
                <w:lang w:val="sr-Cyrl-RS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190094">
              <w:rPr>
                <w:rFonts w:ascii="Arial" w:hAnsi="Arial" w:cs="Arial"/>
                <w:sz w:val="20"/>
                <w:szCs w:val="20"/>
                <w:lang w:val="sr-Cyrl-RS"/>
              </w:rPr>
              <w:t>%</w:t>
            </w:r>
          </w:p>
        </w:tc>
      </w:tr>
    </w:tbl>
    <w:p w:rsidR="00B45864" w:rsidRPr="00A26A9E" w:rsidRDefault="00B45864" w:rsidP="00B45864">
      <w:pPr>
        <w:tabs>
          <w:tab w:val="left" w:pos="13380"/>
        </w:tabs>
        <w:jc w:val="center"/>
        <w:rPr>
          <w:rFonts w:ascii="Times New Roman" w:hAnsi="Times New Roman" w:cs="Times New Roman"/>
        </w:rPr>
      </w:pPr>
    </w:p>
    <w:p w:rsidR="00110C47" w:rsidRPr="009F17EC" w:rsidRDefault="00110C47" w:rsidP="00B45864">
      <w:pPr>
        <w:tabs>
          <w:tab w:val="left" w:pos="13380"/>
        </w:tabs>
        <w:jc w:val="center"/>
        <w:rPr>
          <w:rFonts w:ascii="Times New Roman" w:hAnsi="Times New Roman" w:cs="Times New Roman"/>
        </w:rPr>
      </w:pPr>
    </w:p>
    <w:p w:rsidR="00110C47" w:rsidRPr="009F17EC" w:rsidRDefault="00877DEE" w:rsidP="000C5CFE">
      <w:pPr>
        <w:autoSpaceDE w:val="0"/>
        <w:spacing w:before="120" w:after="120"/>
        <w:jc w:val="both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  <w:lang w:val="sr-Cyrl-CS"/>
        </w:rPr>
        <w:t>Прилог 2</w:t>
      </w:r>
      <w:r w:rsidR="000B3C97" w:rsidRPr="009F17EC">
        <w:rPr>
          <w:rFonts w:ascii="Times New Roman" w:hAnsi="Times New Roman" w:cs="Times New Roman"/>
          <w:bCs/>
          <w:szCs w:val="21"/>
          <w:lang w:val="sr-Cyrl-CS"/>
        </w:rPr>
        <w:t>.</w:t>
      </w:r>
      <w:r w:rsidR="00110C47" w:rsidRPr="009F17EC">
        <w:rPr>
          <w:rFonts w:ascii="Times New Roman" w:hAnsi="Times New Roman" w:cs="Times New Roman"/>
          <w:bCs/>
          <w:szCs w:val="21"/>
          <w:lang w:val="sr-Cyrl-CS"/>
        </w:rPr>
        <w:t xml:space="preserve"> План према врсти надзора</w:t>
      </w:r>
      <w:r w:rsidR="002A57E6">
        <w:rPr>
          <w:rFonts w:ascii="Times New Roman" w:hAnsi="Times New Roman" w:cs="Times New Roman"/>
          <w:bCs/>
          <w:szCs w:val="21"/>
          <w:lang w:val="sr-Cyrl-CS"/>
        </w:rPr>
        <w:t xml:space="preserve"> у 2025</w:t>
      </w:r>
      <w:r w:rsidR="000C5CFE">
        <w:rPr>
          <w:rFonts w:ascii="Times New Roman" w:hAnsi="Times New Roman" w:cs="Times New Roman"/>
          <w:bCs/>
          <w:szCs w:val="21"/>
          <w:lang w:val="sr-Cyrl-CS"/>
        </w:rPr>
        <w:t xml:space="preserve"> години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"/>
        <w:gridCol w:w="3471"/>
        <w:gridCol w:w="1076"/>
        <w:gridCol w:w="1508"/>
        <w:gridCol w:w="1721"/>
        <w:gridCol w:w="2343"/>
        <w:gridCol w:w="2020"/>
        <w:gridCol w:w="1828"/>
      </w:tblGrid>
      <w:tr w:rsidR="00110C47" w:rsidRPr="009F17EC" w:rsidTr="00964F4C">
        <w:trPr>
          <w:trHeight w:val="27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C47" w:rsidRPr="009F17EC" w:rsidRDefault="00110C47" w:rsidP="00964F4C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9F17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РБ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C47" w:rsidRPr="009F17EC" w:rsidRDefault="00110C47" w:rsidP="00964F4C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9F17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 ПОСЛА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C47" w:rsidRPr="009F17EC" w:rsidRDefault="00110C47" w:rsidP="00964F4C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9F17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Укупно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C47" w:rsidRPr="009F17EC" w:rsidRDefault="00110C47" w:rsidP="00964F4C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9F17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РЕДОВАН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C47" w:rsidRPr="009F17EC" w:rsidRDefault="00110C47" w:rsidP="00964F4C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9F17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ВАНРЕДАН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C47" w:rsidRPr="00BC3298" w:rsidRDefault="00BC3298" w:rsidP="00964F4C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КОНТРОЛНИ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C47" w:rsidRPr="009F17EC" w:rsidRDefault="00BC3298" w:rsidP="00964F4C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BC32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ПРЕВЕНТВНИ- СЛУЖ.ПОСЕТЕ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C47" w:rsidRPr="009F17EC" w:rsidRDefault="00110C47" w:rsidP="00964F4C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9F17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ДОПУНСКИ</w:t>
            </w:r>
          </w:p>
        </w:tc>
      </w:tr>
      <w:tr w:rsidR="009A3539" w:rsidRPr="009F17EC" w:rsidTr="00DE4E72">
        <w:trPr>
          <w:trHeight w:val="315"/>
        </w:trPr>
        <w:tc>
          <w:tcPr>
            <w:tcW w:w="1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A3539" w:rsidRPr="009F17EC" w:rsidRDefault="009A3539" w:rsidP="009A3539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9F17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12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3539" w:rsidRPr="009F17EC" w:rsidRDefault="009A3539" w:rsidP="009A3539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9F17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ЗАКОН О ШУМАМА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A3539" w:rsidRPr="004C5ED5" w:rsidRDefault="002A57E6" w:rsidP="004C5ED5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 xml:space="preserve">        359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4DA2" w:rsidRPr="00EE4DA2" w:rsidRDefault="00EE4DA2" w:rsidP="00EE4DA2"/>
          <w:p w:rsidR="009A3539" w:rsidRPr="0046456C" w:rsidRDefault="002A57E6" w:rsidP="00EE4DA2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216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A3539" w:rsidRPr="0046456C" w:rsidRDefault="00AF3D73" w:rsidP="009A353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50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A3539" w:rsidRPr="0046456C" w:rsidRDefault="0046456C" w:rsidP="000E7547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       </w:t>
            </w:r>
            <w:r w:rsidR="00194263"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11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A3539" w:rsidRPr="0046456C" w:rsidRDefault="00DC1231" w:rsidP="009A353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77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A3539" w:rsidRPr="0046456C" w:rsidRDefault="00DC1231" w:rsidP="00192B5E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5</w:t>
            </w:r>
          </w:p>
        </w:tc>
      </w:tr>
      <w:tr w:rsidR="00F549D5" w:rsidRPr="009F17EC" w:rsidTr="004B2C14">
        <w:trPr>
          <w:trHeight w:val="51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9D5" w:rsidRPr="009F17EC" w:rsidRDefault="00F549D5" w:rsidP="00F549D5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F17E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9D5" w:rsidRPr="009F17EC" w:rsidRDefault="00F549D5" w:rsidP="00F549D5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9F17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ЗАКОН О РЕПРОДУКТИВНОМ МАТЕРИЈ. ШУМ. ДРВЕЋА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9D5" w:rsidRPr="00190094" w:rsidRDefault="004C5ED5" w:rsidP="00B20428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 xml:space="preserve">  </w:t>
            </w:r>
            <w:r w:rsidR="00190094">
              <w:rPr>
                <w:rFonts w:ascii="Arial" w:hAnsi="Arial" w:cs="Arial"/>
                <w:sz w:val="20"/>
                <w:szCs w:val="20"/>
                <w:lang w:val="sr-Cyrl-RS"/>
              </w:rPr>
              <w:t xml:space="preserve">  78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9D5" w:rsidRPr="0046456C" w:rsidRDefault="00194263" w:rsidP="00F549D5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</w:t>
            </w:r>
            <w:r w:rsidR="0046456C">
              <w:rPr>
                <w:rFonts w:ascii="Arial" w:hAnsi="Arial" w:cs="Arial"/>
                <w:sz w:val="20"/>
                <w:szCs w:val="20"/>
                <w:lang w:val="sr-Cyrl-RS"/>
              </w:rPr>
              <w:t>32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9D5" w:rsidRPr="0046456C" w:rsidRDefault="0046456C" w:rsidP="00B20428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21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9D5" w:rsidRPr="0046456C" w:rsidRDefault="0046456C" w:rsidP="00EE4DA2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9D5" w:rsidRPr="0046456C" w:rsidRDefault="0046456C" w:rsidP="00F549D5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9D5" w:rsidRPr="0046456C" w:rsidRDefault="0046456C" w:rsidP="00192B5E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3</w:t>
            </w:r>
          </w:p>
        </w:tc>
      </w:tr>
      <w:tr w:rsidR="00F549D5" w:rsidRPr="009F17EC" w:rsidTr="00567692">
        <w:trPr>
          <w:trHeight w:val="315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9D5" w:rsidRPr="009F17EC" w:rsidRDefault="00F549D5" w:rsidP="00F549D5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F17EC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9D5" w:rsidRPr="009F17EC" w:rsidRDefault="00F549D5" w:rsidP="00F549D5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9F17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ЗАКОН О ЗДРАВЉУ БИЉА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9D5" w:rsidRPr="00190094" w:rsidRDefault="004C5ED5" w:rsidP="00B20428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 xml:space="preserve">   </w:t>
            </w:r>
            <w:r w:rsidR="002A57E6">
              <w:rPr>
                <w:rFonts w:ascii="Arial" w:hAnsi="Arial" w:cs="Arial"/>
                <w:sz w:val="20"/>
                <w:szCs w:val="20"/>
                <w:lang w:val="sr-Cyrl-RS"/>
              </w:rPr>
              <w:t xml:space="preserve"> 29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9D5" w:rsidRPr="0046456C" w:rsidRDefault="00194263" w:rsidP="00F549D5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</w:t>
            </w:r>
            <w:r w:rsidR="0046456C">
              <w:rPr>
                <w:rFonts w:ascii="Arial" w:hAnsi="Arial" w:cs="Arial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9D5" w:rsidRPr="00647727" w:rsidRDefault="000E7547" w:rsidP="00647727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   </w:t>
            </w:r>
            <w:r w:rsidR="00194263">
              <w:rPr>
                <w:rFonts w:ascii="Arial" w:hAnsi="Arial" w:cs="Arial"/>
                <w:sz w:val="20"/>
                <w:szCs w:val="20"/>
                <w:lang w:val="sr-Cyrl-R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</w:t>
            </w:r>
            <w:r w:rsidR="00DC1231">
              <w:rPr>
                <w:rFonts w:ascii="Arial" w:hAnsi="Arial" w:cs="Arial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9D5" w:rsidRPr="0046456C" w:rsidRDefault="00194263" w:rsidP="00EE4DA2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/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9D5" w:rsidRPr="0046456C" w:rsidRDefault="002A57E6" w:rsidP="00B20428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17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9D5" w:rsidRPr="0046456C" w:rsidRDefault="00194263" w:rsidP="00192B5E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/</w:t>
            </w:r>
          </w:p>
        </w:tc>
      </w:tr>
      <w:tr w:rsidR="00F549D5" w:rsidRPr="009F17EC" w:rsidTr="00780A12">
        <w:trPr>
          <w:trHeight w:val="315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9D5" w:rsidRPr="009F17EC" w:rsidRDefault="00F549D5" w:rsidP="00F549D5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F17E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9D5" w:rsidRPr="009F17EC" w:rsidRDefault="00F549D5" w:rsidP="00F549D5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9F17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ЗАКОН ДИВЉАЧИ И ЛОВСТВУ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9D5" w:rsidRPr="00190094" w:rsidRDefault="00194263" w:rsidP="0019009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4C5ED5">
              <w:rPr>
                <w:rFonts w:ascii="Arial" w:hAnsi="Arial" w:cs="Arial"/>
                <w:sz w:val="20"/>
                <w:szCs w:val="20"/>
                <w:lang w:val="sr-Latn-R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</w:t>
            </w:r>
            <w:r w:rsidR="00190094">
              <w:rPr>
                <w:rFonts w:ascii="Arial" w:hAnsi="Arial" w:cs="Arial"/>
                <w:sz w:val="20"/>
                <w:szCs w:val="20"/>
                <w:lang w:val="sr-Cyrl-RS"/>
              </w:rPr>
              <w:t xml:space="preserve">  </w:t>
            </w:r>
            <w:r w:rsidR="002A57E6">
              <w:rPr>
                <w:rFonts w:ascii="Arial" w:hAnsi="Arial" w:cs="Arial"/>
                <w:sz w:val="20"/>
                <w:szCs w:val="20"/>
                <w:lang w:val="sr-Cyrl-RS"/>
              </w:rPr>
              <w:t>231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9D5" w:rsidRPr="0046456C" w:rsidRDefault="00194263" w:rsidP="00F549D5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</w:t>
            </w:r>
            <w:r w:rsidR="002A57E6">
              <w:rPr>
                <w:rFonts w:ascii="Arial" w:hAnsi="Arial" w:cs="Arial"/>
                <w:sz w:val="20"/>
                <w:szCs w:val="20"/>
                <w:lang w:val="sr-Cyrl-RS"/>
              </w:rPr>
              <w:t>151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9D5" w:rsidRPr="0046456C" w:rsidRDefault="002A57E6" w:rsidP="00B20428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33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9D5" w:rsidRPr="0046456C" w:rsidRDefault="006C3BC8" w:rsidP="00EE4DA2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9D5" w:rsidRPr="00B304E9" w:rsidRDefault="0046456C" w:rsidP="00192B5E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39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9D5" w:rsidRPr="0046456C" w:rsidRDefault="0046456C" w:rsidP="00192B5E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</w:t>
            </w:r>
          </w:p>
        </w:tc>
      </w:tr>
      <w:tr w:rsidR="00F549D5" w:rsidRPr="009F17EC" w:rsidTr="00A74845">
        <w:trPr>
          <w:trHeight w:val="315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9D5" w:rsidRPr="009F17EC" w:rsidRDefault="00F549D5" w:rsidP="00F549D5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F17EC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9D5" w:rsidRPr="009F17EC" w:rsidRDefault="00F549D5" w:rsidP="00F549D5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9F17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 ПРОПИСИ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9D5" w:rsidRPr="00861CD7" w:rsidRDefault="00DC1231" w:rsidP="00F549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9D5" w:rsidRPr="00194263" w:rsidRDefault="00F549D5" w:rsidP="00F549D5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9D5" w:rsidRPr="00194263" w:rsidRDefault="004C5ED5" w:rsidP="00F549D5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9D5" w:rsidRPr="00194263" w:rsidRDefault="00194263" w:rsidP="00EE4DA2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/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9D5" w:rsidRPr="00194263" w:rsidRDefault="00194263" w:rsidP="00F549D5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/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9D5" w:rsidRPr="00194263" w:rsidRDefault="00194263" w:rsidP="00192B5E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/</w:t>
            </w:r>
          </w:p>
        </w:tc>
      </w:tr>
      <w:tr w:rsidR="00F549D5" w:rsidRPr="009F17EC" w:rsidTr="0054036F">
        <w:trPr>
          <w:trHeight w:val="300"/>
        </w:trPr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9D5" w:rsidRPr="009F17EC" w:rsidRDefault="00F549D5" w:rsidP="00F549D5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F17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9D5" w:rsidRPr="009F17EC" w:rsidRDefault="00F549D5" w:rsidP="00F549D5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9F17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 В Е Г 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9D5" w:rsidRPr="00194263" w:rsidRDefault="002A57E6" w:rsidP="00194263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  698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9D5" w:rsidRPr="0046456C" w:rsidRDefault="00194263" w:rsidP="00F549D5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</w:t>
            </w:r>
            <w:r w:rsidR="002A57E6">
              <w:rPr>
                <w:rFonts w:ascii="Arial" w:hAnsi="Arial" w:cs="Arial"/>
                <w:sz w:val="20"/>
                <w:szCs w:val="20"/>
                <w:lang w:val="sr-Cyrl-RS"/>
              </w:rPr>
              <w:t>406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9D5" w:rsidRPr="0046456C" w:rsidRDefault="002A57E6" w:rsidP="00F549D5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110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9D5" w:rsidRPr="00C03A97" w:rsidRDefault="006C3BC8" w:rsidP="000E7547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              25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9D5" w:rsidRPr="0068618B" w:rsidRDefault="002A57E6" w:rsidP="00F549D5">
            <w:pPr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147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9D5" w:rsidRPr="0046456C" w:rsidRDefault="0046456C" w:rsidP="00192B5E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10</w:t>
            </w:r>
          </w:p>
        </w:tc>
      </w:tr>
      <w:tr w:rsidR="00F549D5" w:rsidRPr="009F17EC" w:rsidTr="00C10EF6">
        <w:trPr>
          <w:trHeight w:val="30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9D5" w:rsidRPr="009F17EC" w:rsidRDefault="00F549D5" w:rsidP="00F549D5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F17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49D5" w:rsidRPr="009F17EC" w:rsidRDefault="00F549D5" w:rsidP="00F549D5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 ПРОЦЕНТИМА</w:t>
            </w:r>
            <w:r w:rsidR="00BC32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9F17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9D5" w:rsidRPr="00194263" w:rsidRDefault="00194263" w:rsidP="00194263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  100%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9D5" w:rsidRPr="00647727" w:rsidRDefault="0068618B" w:rsidP="00194263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   </w:t>
            </w:r>
            <w:r w:rsidR="002A57E6">
              <w:rPr>
                <w:rFonts w:ascii="Arial" w:hAnsi="Arial" w:cs="Arial"/>
                <w:sz w:val="20"/>
                <w:szCs w:val="20"/>
                <w:lang w:val="sr-Latn-RS"/>
              </w:rPr>
              <w:t>58.1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</w:t>
            </w:r>
            <w:r w:rsidR="00194263">
              <w:rPr>
                <w:rFonts w:ascii="Arial" w:hAnsi="Arial" w:cs="Arial"/>
                <w:sz w:val="20"/>
                <w:szCs w:val="20"/>
                <w:lang w:val="sr-Cyrl-RS"/>
              </w:rPr>
              <w:t>%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9D5" w:rsidRPr="00C03A97" w:rsidRDefault="000E7547" w:rsidP="00C03A97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  </w:t>
            </w:r>
            <w:r w:rsidR="0068618B"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</w:t>
            </w:r>
            <w:r w:rsidR="002A57E6">
              <w:rPr>
                <w:rFonts w:ascii="Arial" w:hAnsi="Arial" w:cs="Arial"/>
                <w:sz w:val="20"/>
                <w:szCs w:val="20"/>
                <w:lang w:val="sr-Latn-RS"/>
              </w:rPr>
              <w:t>15.8</w:t>
            </w:r>
            <w:r w:rsidR="0068618B">
              <w:rPr>
                <w:rFonts w:ascii="Arial" w:hAnsi="Arial" w:cs="Arial"/>
                <w:sz w:val="20"/>
                <w:szCs w:val="20"/>
                <w:lang w:val="sr-Cyrl-RS"/>
              </w:rPr>
              <w:t xml:space="preserve">  </w:t>
            </w:r>
            <w:r w:rsidR="00194263">
              <w:rPr>
                <w:rFonts w:ascii="Arial" w:hAnsi="Arial" w:cs="Arial"/>
                <w:sz w:val="20"/>
                <w:szCs w:val="20"/>
                <w:lang w:val="sr-Cyrl-RS"/>
              </w:rPr>
              <w:t>%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9D5" w:rsidRPr="00194263" w:rsidRDefault="006C3BC8" w:rsidP="00F549D5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3</w:t>
            </w:r>
            <w:r w:rsidR="00EF27EC">
              <w:rPr>
                <w:rFonts w:ascii="Arial" w:hAnsi="Arial" w:cs="Arial"/>
                <w:sz w:val="20"/>
                <w:szCs w:val="20"/>
                <w:lang w:val="sr-Cyrl-RS"/>
              </w:rPr>
              <w:t>.6</w:t>
            </w:r>
            <w:r w:rsidR="0068618B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 w:rsidR="00194263">
              <w:rPr>
                <w:rFonts w:ascii="Arial" w:hAnsi="Arial" w:cs="Arial"/>
                <w:sz w:val="20"/>
                <w:szCs w:val="20"/>
                <w:lang w:val="sr-Cyrl-RS"/>
              </w:rPr>
              <w:t>%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9D5" w:rsidRPr="00194263" w:rsidRDefault="0068618B" w:rsidP="00194263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             </w:t>
            </w:r>
            <w:r w:rsidR="002A57E6">
              <w:rPr>
                <w:rFonts w:ascii="Arial" w:hAnsi="Arial" w:cs="Arial"/>
                <w:sz w:val="20"/>
                <w:szCs w:val="20"/>
                <w:lang w:val="sr-Latn-RS"/>
              </w:rPr>
              <w:t>21.1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 w:rsidR="00194263">
              <w:rPr>
                <w:rFonts w:ascii="Arial" w:hAnsi="Arial" w:cs="Arial"/>
                <w:sz w:val="20"/>
                <w:szCs w:val="20"/>
                <w:lang w:val="sr-Cyrl-RS"/>
              </w:rPr>
              <w:t>%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49D5" w:rsidRPr="00194263" w:rsidRDefault="00194263" w:rsidP="00F549D5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1%</w:t>
            </w:r>
          </w:p>
        </w:tc>
      </w:tr>
    </w:tbl>
    <w:p w:rsidR="00110C47" w:rsidRPr="009F17EC" w:rsidRDefault="00110C47" w:rsidP="0068618B">
      <w:pPr>
        <w:tabs>
          <w:tab w:val="left" w:pos="13380"/>
        </w:tabs>
        <w:rPr>
          <w:rFonts w:ascii="Times New Roman" w:hAnsi="Times New Roman" w:cs="Times New Roman"/>
        </w:rPr>
      </w:pPr>
    </w:p>
    <w:sectPr w:rsidR="00110C47" w:rsidRPr="009F17EC" w:rsidSect="00D605B8">
      <w:pgSz w:w="15840" w:h="12240" w:orient="landscape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2B3" w:rsidRDefault="00B432B3" w:rsidP="00B45864">
      <w:pPr>
        <w:spacing w:after="0" w:line="240" w:lineRule="auto"/>
      </w:pPr>
      <w:r>
        <w:separator/>
      </w:r>
    </w:p>
  </w:endnote>
  <w:endnote w:type="continuationSeparator" w:id="0">
    <w:p w:rsidR="00B432B3" w:rsidRDefault="00B432B3" w:rsidP="00B45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2B3" w:rsidRDefault="00B432B3" w:rsidP="00B45864">
      <w:pPr>
        <w:spacing w:after="0" w:line="240" w:lineRule="auto"/>
      </w:pPr>
      <w:r>
        <w:separator/>
      </w:r>
    </w:p>
  </w:footnote>
  <w:footnote w:type="continuationSeparator" w:id="0">
    <w:p w:rsidR="00B432B3" w:rsidRDefault="00B432B3" w:rsidP="00B45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12385"/>
    <w:multiLevelType w:val="hybridMultilevel"/>
    <w:tmpl w:val="81A870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787"/>
    <w:rsid w:val="00001A18"/>
    <w:rsid w:val="00015E4F"/>
    <w:rsid w:val="000311FA"/>
    <w:rsid w:val="00032C52"/>
    <w:rsid w:val="0004178B"/>
    <w:rsid w:val="00043EE0"/>
    <w:rsid w:val="00050093"/>
    <w:rsid w:val="00060EE5"/>
    <w:rsid w:val="00062DA3"/>
    <w:rsid w:val="00067E68"/>
    <w:rsid w:val="0007503B"/>
    <w:rsid w:val="00080A42"/>
    <w:rsid w:val="00082D7D"/>
    <w:rsid w:val="000928F1"/>
    <w:rsid w:val="000A2642"/>
    <w:rsid w:val="000A710F"/>
    <w:rsid w:val="000B3C97"/>
    <w:rsid w:val="000C5CFE"/>
    <w:rsid w:val="000D0947"/>
    <w:rsid w:val="000E02FB"/>
    <w:rsid w:val="000E0E3B"/>
    <w:rsid w:val="000E51AF"/>
    <w:rsid w:val="000E7547"/>
    <w:rsid w:val="000F4F38"/>
    <w:rsid w:val="00110C47"/>
    <w:rsid w:val="00130B1D"/>
    <w:rsid w:val="00137E66"/>
    <w:rsid w:val="00140A3F"/>
    <w:rsid w:val="0014537F"/>
    <w:rsid w:val="0014556F"/>
    <w:rsid w:val="001462CD"/>
    <w:rsid w:val="00162787"/>
    <w:rsid w:val="0016593A"/>
    <w:rsid w:val="00174A7C"/>
    <w:rsid w:val="00175444"/>
    <w:rsid w:val="00180359"/>
    <w:rsid w:val="001844E0"/>
    <w:rsid w:val="001848DD"/>
    <w:rsid w:val="00190094"/>
    <w:rsid w:val="00192B5E"/>
    <w:rsid w:val="00194263"/>
    <w:rsid w:val="001A3F05"/>
    <w:rsid w:val="001B3E90"/>
    <w:rsid w:val="001C4634"/>
    <w:rsid w:val="001C52B7"/>
    <w:rsid w:val="001C5F66"/>
    <w:rsid w:val="001D0FAB"/>
    <w:rsid w:val="00203F30"/>
    <w:rsid w:val="00206AE1"/>
    <w:rsid w:val="00210EEE"/>
    <w:rsid w:val="00222D28"/>
    <w:rsid w:val="002276C9"/>
    <w:rsid w:val="00227A22"/>
    <w:rsid w:val="00233564"/>
    <w:rsid w:val="0024404C"/>
    <w:rsid w:val="00244D68"/>
    <w:rsid w:val="002477AE"/>
    <w:rsid w:val="00251787"/>
    <w:rsid w:val="002629B5"/>
    <w:rsid w:val="00271BBA"/>
    <w:rsid w:val="00296CB5"/>
    <w:rsid w:val="002A57E6"/>
    <w:rsid w:val="002A7AA7"/>
    <w:rsid w:val="002C4B03"/>
    <w:rsid w:val="002C6BEF"/>
    <w:rsid w:val="002E0E6B"/>
    <w:rsid w:val="002E743A"/>
    <w:rsid w:val="00322A8A"/>
    <w:rsid w:val="00327AF9"/>
    <w:rsid w:val="00342F1E"/>
    <w:rsid w:val="00344CCE"/>
    <w:rsid w:val="0035332A"/>
    <w:rsid w:val="00353F77"/>
    <w:rsid w:val="0036493E"/>
    <w:rsid w:val="00377BAE"/>
    <w:rsid w:val="00377DAB"/>
    <w:rsid w:val="00380554"/>
    <w:rsid w:val="003B4686"/>
    <w:rsid w:val="003B779B"/>
    <w:rsid w:val="003C5B17"/>
    <w:rsid w:val="003D193C"/>
    <w:rsid w:val="003D773E"/>
    <w:rsid w:val="003E1371"/>
    <w:rsid w:val="0041078F"/>
    <w:rsid w:val="0041251B"/>
    <w:rsid w:val="004153D6"/>
    <w:rsid w:val="00426728"/>
    <w:rsid w:val="00430709"/>
    <w:rsid w:val="004419AB"/>
    <w:rsid w:val="00443D44"/>
    <w:rsid w:val="00454B43"/>
    <w:rsid w:val="00455700"/>
    <w:rsid w:val="00457377"/>
    <w:rsid w:val="0046456C"/>
    <w:rsid w:val="00475033"/>
    <w:rsid w:val="00483991"/>
    <w:rsid w:val="004856D7"/>
    <w:rsid w:val="00487A71"/>
    <w:rsid w:val="00490B2E"/>
    <w:rsid w:val="00493897"/>
    <w:rsid w:val="004959D8"/>
    <w:rsid w:val="00496979"/>
    <w:rsid w:val="004A447E"/>
    <w:rsid w:val="004B1141"/>
    <w:rsid w:val="004B5F51"/>
    <w:rsid w:val="004C22FA"/>
    <w:rsid w:val="004C5ED5"/>
    <w:rsid w:val="004C6590"/>
    <w:rsid w:val="004C6D34"/>
    <w:rsid w:val="004D59CB"/>
    <w:rsid w:val="004F2990"/>
    <w:rsid w:val="004F2BD4"/>
    <w:rsid w:val="00504642"/>
    <w:rsid w:val="00522EE5"/>
    <w:rsid w:val="00526BBC"/>
    <w:rsid w:val="00542A21"/>
    <w:rsid w:val="00546070"/>
    <w:rsid w:val="00575606"/>
    <w:rsid w:val="00581E67"/>
    <w:rsid w:val="00582A11"/>
    <w:rsid w:val="005843A6"/>
    <w:rsid w:val="00590949"/>
    <w:rsid w:val="005A2F5E"/>
    <w:rsid w:val="005A6CE0"/>
    <w:rsid w:val="005B1767"/>
    <w:rsid w:val="005B2512"/>
    <w:rsid w:val="005C7518"/>
    <w:rsid w:val="005D0D20"/>
    <w:rsid w:val="005E1E5E"/>
    <w:rsid w:val="0060443F"/>
    <w:rsid w:val="00606DA0"/>
    <w:rsid w:val="00614A16"/>
    <w:rsid w:val="006152E7"/>
    <w:rsid w:val="00623397"/>
    <w:rsid w:val="0062448F"/>
    <w:rsid w:val="00624CC4"/>
    <w:rsid w:val="00625499"/>
    <w:rsid w:val="00637C4D"/>
    <w:rsid w:val="00647727"/>
    <w:rsid w:val="006524CD"/>
    <w:rsid w:val="00670E0D"/>
    <w:rsid w:val="00673042"/>
    <w:rsid w:val="006824DE"/>
    <w:rsid w:val="0068618B"/>
    <w:rsid w:val="0069167A"/>
    <w:rsid w:val="006A040C"/>
    <w:rsid w:val="006A2494"/>
    <w:rsid w:val="006A6002"/>
    <w:rsid w:val="006C0C50"/>
    <w:rsid w:val="006C3BC8"/>
    <w:rsid w:val="006C4E19"/>
    <w:rsid w:val="006E31ED"/>
    <w:rsid w:val="006F1FCC"/>
    <w:rsid w:val="006F6784"/>
    <w:rsid w:val="006F6D72"/>
    <w:rsid w:val="0070651F"/>
    <w:rsid w:val="0071407B"/>
    <w:rsid w:val="00721A3A"/>
    <w:rsid w:val="00721C5A"/>
    <w:rsid w:val="00724DBB"/>
    <w:rsid w:val="007412AC"/>
    <w:rsid w:val="00741939"/>
    <w:rsid w:val="00746B66"/>
    <w:rsid w:val="00753AB9"/>
    <w:rsid w:val="00764220"/>
    <w:rsid w:val="00783EA9"/>
    <w:rsid w:val="00790F90"/>
    <w:rsid w:val="00793EE0"/>
    <w:rsid w:val="007A1B91"/>
    <w:rsid w:val="007B151E"/>
    <w:rsid w:val="007E207C"/>
    <w:rsid w:val="007E56F0"/>
    <w:rsid w:val="00803184"/>
    <w:rsid w:val="00811E3F"/>
    <w:rsid w:val="008124EF"/>
    <w:rsid w:val="00813A75"/>
    <w:rsid w:val="008201B9"/>
    <w:rsid w:val="00823006"/>
    <w:rsid w:val="00833313"/>
    <w:rsid w:val="008377D1"/>
    <w:rsid w:val="00841055"/>
    <w:rsid w:val="00851E88"/>
    <w:rsid w:val="00853DE9"/>
    <w:rsid w:val="00857CD2"/>
    <w:rsid w:val="008608E4"/>
    <w:rsid w:val="00861CD7"/>
    <w:rsid w:val="00872A39"/>
    <w:rsid w:val="0087351A"/>
    <w:rsid w:val="00877BB9"/>
    <w:rsid w:val="00877DEE"/>
    <w:rsid w:val="00885E06"/>
    <w:rsid w:val="008929D5"/>
    <w:rsid w:val="008B7086"/>
    <w:rsid w:val="008D6C18"/>
    <w:rsid w:val="008E0F28"/>
    <w:rsid w:val="008F11FB"/>
    <w:rsid w:val="008F364C"/>
    <w:rsid w:val="008F69FC"/>
    <w:rsid w:val="00903C32"/>
    <w:rsid w:val="00905928"/>
    <w:rsid w:val="00912313"/>
    <w:rsid w:val="00912C8A"/>
    <w:rsid w:val="009170AC"/>
    <w:rsid w:val="009266D4"/>
    <w:rsid w:val="0093757E"/>
    <w:rsid w:val="009375E3"/>
    <w:rsid w:val="009414FE"/>
    <w:rsid w:val="00942256"/>
    <w:rsid w:val="00943447"/>
    <w:rsid w:val="009544FA"/>
    <w:rsid w:val="00957E2D"/>
    <w:rsid w:val="009615CD"/>
    <w:rsid w:val="0096752E"/>
    <w:rsid w:val="009709F2"/>
    <w:rsid w:val="00972917"/>
    <w:rsid w:val="00974A5E"/>
    <w:rsid w:val="00981561"/>
    <w:rsid w:val="00982FC3"/>
    <w:rsid w:val="0098473B"/>
    <w:rsid w:val="00986A4A"/>
    <w:rsid w:val="009939BA"/>
    <w:rsid w:val="009972C0"/>
    <w:rsid w:val="00997A7C"/>
    <w:rsid w:val="009A19F3"/>
    <w:rsid w:val="009A3539"/>
    <w:rsid w:val="009A4C52"/>
    <w:rsid w:val="009A7692"/>
    <w:rsid w:val="009C22FF"/>
    <w:rsid w:val="009C5E8B"/>
    <w:rsid w:val="009D7F2A"/>
    <w:rsid w:val="009E6744"/>
    <w:rsid w:val="009E6D6B"/>
    <w:rsid w:val="009F17EC"/>
    <w:rsid w:val="009F2DFE"/>
    <w:rsid w:val="009F41F9"/>
    <w:rsid w:val="00A204E2"/>
    <w:rsid w:val="00A2211A"/>
    <w:rsid w:val="00A22D81"/>
    <w:rsid w:val="00A238C0"/>
    <w:rsid w:val="00A24BD8"/>
    <w:rsid w:val="00A26A9E"/>
    <w:rsid w:val="00A26AD3"/>
    <w:rsid w:val="00A27C98"/>
    <w:rsid w:val="00A3261E"/>
    <w:rsid w:val="00A33A09"/>
    <w:rsid w:val="00A37022"/>
    <w:rsid w:val="00A427D2"/>
    <w:rsid w:val="00A54CEA"/>
    <w:rsid w:val="00A55FD4"/>
    <w:rsid w:val="00A61DED"/>
    <w:rsid w:val="00A77E18"/>
    <w:rsid w:val="00A81283"/>
    <w:rsid w:val="00A87E3B"/>
    <w:rsid w:val="00A92386"/>
    <w:rsid w:val="00AA0972"/>
    <w:rsid w:val="00AB7ED5"/>
    <w:rsid w:val="00AC5A2F"/>
    <w:rsid w:val="00AD0174"/>
    <w:rsid w:val="00AD2FC6"/>
    <w:rsid w:val="00AE391C"/>
    <w:rsid w:val="00AF3D73"/>
    <w:rsid w:val="00B04D08"/>
    <w:rsid w:val="00B123AA"/>
    <w:rsid w:val="00B20428"/>
    <w:rsid w:val="00B228FE"/>
    <w:rsid w:val="00B304E9"/>
    <w:rsid w:val="00B34007"/>
    <w:rsid w:val="00B432B3"/>
    <w:rsid w:val="00B45864"/>
    <w:rsid w:val="00B574E9"/>
    <w:rsid w:val="00B57DEF"/>
    <w:rsid w:val="00B60DBC"/>
    <w:rsid w:val="00B77A12"/>
    <w:rsid w:val="00B84343"/>
    <w:rsid w:val="00BC3298"/>
    <w:rsid w:val="00BD65E1"/>
    <w:rsid w:val="00BD781D"/>
    <w:rsid w:val="00BD7B8C"/>
    <w:rsid w:val="00BE226A"/>
    <w:rsid w:val="00C03A97"/>
    <w:rsid w:val="00C04DF0"/>
    <w:rsid w:val="00C13059"/>
    <w:rsid w:val="00C17F0B"/>
    <w:rsid w:val="00C24527"/>
    <w:rsid w:val="00C35182"/>
    <w:rsid w:val="00C51C8E"/>
    <w:rsid w:val="00C642D1"/>
    <w:rsid w:val="00C6558E"/>
    <w:rsid w:val="00C7286F"/>
    <w:rsid w:val="00C7305E"/>
    <w:rsid w:val="00C91DBF"/>
    <w:rsid w:val="00CA2DF9"/>
    <w:rsid w:val="00CA3E31"/>
    <w:rsid w:val="00CA58D5"/>
    <w:rsid w:val="00CA6A61"/>
    <w:rsid w:val="00CC04DC"/>
    <w:rsid w:val="00CD00BA"/>
    <w:rsid w:val="00CD1E76"/>
    <w:rsid w:val="00CE4E09"/>
    <w:rsid w:val="00CE4F6F"/>
    <w:rsid w:val="00CE62A3"/>
    <w:rsid w:val="00CF05C1"/>
    <w:rsid w:val="00CF0C46"/>
    <w:rsid w:val="00CF5676"/>
    <w:rsid w:val="00CF5ABB"/>
    <w:rsid w:val="00D04021"/>
    <w:rsid w:val="00D04615"/>
    <w:rsid w:val="00D20B1D"/>
    <w:rsid w:val="00D36C9D"/>
    <w:rsid w:val="00D4679C"/>
    <w:rsid w:val="00D605B8"/>
    <w:rsid w:val="00D75C22"/>
    <w:rsid w:val="00D8335B"/>
    <w:rsid w:val="00DA62A0"/>
    <w:rsid w:val="00DA77CE"/>
    <w:rsid w:val="00DC1231"/>
    <w:rsid w:val="00DC21CC"/>
    <w:rsid w:val="00DC4BEB"/>
    <w:rsid w:val="00DD034C"/>
    <w:rsid w:val="00DD2A8E"/>
    <w:rsid w:val="00DE0AF0"/>
    <w:rsid w:val="00DE230C"/>
    <w:rsid w:val="00DE27D3"/>
    <w:rsid w:val="00DF109D"/>
    <w:rsid w:val="00DF195D"/>
    <w:rsid w:val="00DF2A6E"/>
    <w:rsid w:val="00DF35B5"/>
    <w:rsid w:val="00DF3B10"/>
    <w:rsid w:val="00E1084F"/>
    <w:rsid w:val="00E255C5"/>
    <w:rsid w:val="00E27216"/>
    <w:rsid w:val="00E30ED7"/>
    <w:rsid w:val="00E332B4"/>
    <w:rsid w:val="00E47092"/>
    <w:rsid w:val="00E5057B"/>
    <w:rsid w:val="00E560E5"/>
    <w:rsid w:val="00E86778"/>
    <w:rsid w:val="00E9463A"/>
    <w:rsid w:val="00E94CD5"/>
    <w:rsid w:val="00E95556"/>
    <w:rsid w:val="00EA0089"/>
    <w:rsid w:val="00EA63CF"/>
    <w:rsid w:val="00EB6E97"/>
    <w:rsid w:val="00EC09BC"/>
    <w:rsid w:val="00EC6954"/>
    <w:rsid w:val="00ED1386"/>
    <w:rsid w:val="00ED54D3"/>
    <w:rsid w:val="00EE00C2"/>
    <w:rsid w:val="00EE4DA2"/>
    <w:rsid w:val="00EE55A1"/>
    <w:rsid w:val="00EF2703"/>
    <w:rsid w:val="00EF27EC"/>
    <w:rsid w:val="00EF7277"/>
    <w:rsid w:val="00F05CAF"/>
    <w:rsid w:val="00F07403"/>
    <w:rsid w:val="00F14774"/>
    <w:rsid w:val="00F16B66"/>
    <w:rsid w:val="00F46C42"/>
    <w:rsid w:val="00F47912"/>
    <w:rsid w:val="00F53915"/>
    <w:rsid w:val="00F546F5"/>
    <w:rsid w:val="00F54957"/>
    <w:rsid w:val="00F549D5"/>
    <w:rsid w:val="00F67918"/>
    <w:rsid w:val="00F71554"/>
    <w:rsid w:val="00F7613B"/>
    <w:rsid w:val="00F82089"/>
    <w:rsid w:val="00F84CCF"/>
    <w:rsid w:val="00F91FFE"/>
    <w:rsid w:val="00F96BAE"/>
    <w:rsid w:val="00F973B5"/>
    <w:rsid w:val="00FB4BD8"/>
    <w:rsid w:val="00FB68DA"/>
    <w:rsid w:val="00FC166E"/>
    <w:rsid w:val="00FC3C1F"/>
    <w:rsid w:val="00FC5D3F"/>
    <w:rsid w:val="00FD1942"/>
    <w:rsid w:val="00FD591A"/>
    <w:rsid w:val="00FE66B9"/>
    <w:rsid w:val="00FE6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754301-2071-4297-B2BC-9C18CB77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8D5"/>
  </w:style>
  <w:style w:type="paragraph" w:styleId="Heading1">
    <w:name w:val="heading 1"/>
    <w:basedOn w:val="Normal"/>
    <w:next w:val="Normal"/>
    <w:link w:val="Heading1Char"/>
    <w:uiPriority w:val="9"/>
    <w:qFormat/>
    <w:rsid w:val="00AD2F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2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18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750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58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864"/>
  </w:style>
  <w:style w:type="paragraph" w:styleId="Footer">
    <w:name w:val="footer"/>
    <w:basedOn w:val="Normal"/>
    <w:link w:val="FooterChar"/>
    <w:uiPriority w:val="99"/>
    <w:unhideWhenUsed/>
    <w:rsid w:val="00B458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864"/>
  </w:style>
  <w:style w:type="character" w:customStyle="1" w:styleId="Heading1Char">
    <w:name w:val="Heading 1 Char"/>
    <w:basedOn w:val="DefaultParagraphFont"/>
    <w:link w:val="Heading1"/>
    <w:uiPriority w:val="9"/>
    <w:rsid w:val="00AD2F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63DC2-7BDB-4682-9B29-70DD1E300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1792</Words>
  <Characters>10216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zvijezdan</dc:creator>
  <cp:keywords/>
  <dc:description/>
  <cp:lastModifiedBy>aleksandar.milic</cp:lastModifiedBy>
  <cp:revision>2</cp:revision>
  <cp:lastPrinted>2022-02-24T07:24:00Z</cp:lastPrinted>
  <dcterms:created xsi:type="dcterms:W3CDTF">2026-04-11T21:44:00Z</dcterms:created>
  <dcterms:modified xsi:type="dcterms:W3CDTF">2026-04-11T21:44:00Z</dcterms:modified>
</cp:coreProperties>
</file>